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B92858" w14:textId="6F23A47A" w:rsidR="00946B91" w:rsidRDefault="00946B91" w:rsidP="00946B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RAN WG1 #10</w:t>
      </w:r>
      <w:r w:rsidR="00477E3E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B01592">
        <w:rPr>
          <w:b/>
          <w:noProof/>
          <w:sz w:val="24"/>
        </w:rPr>
        <w:tab/>
      </w:r>
      <w:r w:rsidR="00E1694B" w:rsidRPr="00E1694B">
        <w:rPr>
          <w:b/>
          <w:noProof/>
          <w:sz w:val="24"/>
        </w:rPr>
        <w:t>R1-211225</w:t>
      </w:r>
      <w:r w:rsidR="0058443E">
        <w:rPr>
          <w:b/>
          <w:noProof/>
          <w:sz w:val="24"/>
        </w:rPr>
        <w:t>5</w:t>
      </w:r>
    </w:p>
    <w:p w14:paraId="1A4D80EA" w14:textId="4CF693FE" w:rsidR="00946B91" w:rsidRDefault="00946B91" w:rsidP="00946B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77E3E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1</w:t>
      </w:r>
      <w:r w:rsidR="00F66D3C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477E3E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</w:t>
      </w:r>
      <w:r w:rsidR="00477E3E">
        <w:rPr>
          <w:b/>
          <w:noProof/>
          <w:sz w:val="24"/>
        </w:rPr>
        <w:t>19</w:t>
      </w:r>
      <w:r w:rsidR="00477E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6A2A3CB" w14:textId="3182D093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C0511A">
        <w:rPr>
          <w:rFonts w:ascii="Arial" w:hAnsi="Arial"/>
          <w:sz w:val="24"/>
        </w:rPr>
        <w:t>8.1</w:t>
      </w:r>
      <w:r w:rsidR="00DC6CBC">
        <w:rPr>
          <w:rFonts w:ascii="Arial" w:hAnsi="Arial"/>
          <w:sz w:val="24"/>
        </w:rPr>
        <w:t>6</w:t>
      </w:r>
      <w:r w:rsidR="00C0511A">
        <w:rPr>
          <w:rFonts w:ascii="Arial" w:hAnsi="Arial"/>
          <w:sz w:val="24"/>
        </w:rPr>
        <w:t>.14</w:t>
      </w:r>
    </w:p>
    <w:p w14:paraId="08727EFD" w14:textId="777777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2B7E5407" w14:textId="549F16F4" w:rsidR="00620296" w:rsidRPr="00DF4042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C0511A" w:rsidRPr="00C0511A">
        <w:rPr>
          <w:rFonts w:ascii="Arial" w:hAnsi="Arial"/>
          <w:sz w:val="24"/>
        </w:rPr>
        <w:t>UE features for IoT over NTN</w:t>
      </w:r>
    </w:p>
    <w:p w14:paraId="412B4E4E" w14:textId="75646A95" w:rsidR="00B32506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21C61593" w14:textId="77777777" w:rsidR="003009A5" w:rsidRDefault="003009A5" w:rsidP="003009A5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</w:p>
    <w:p w14:paraId="47367EA5" w14:textId="334739D4" w:rsidR="003009A5" w:rsidRDefault="000F7431" w:rsidP="003009A5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Introduction</w:t>
      </w:r>
    </w:p>
    <w:p w14:paraId="00009C48" w14:textId="70FDB582" w:rsidR="00DA3BF2" w:rsidRDefault="000F7431" w:rsidP="00E31BC4">
      <w:r>
        <w:t xml:space="preserve">In </w:t>
      </w:r>
      <w:r w:rsidR="00A770E6">
        <w:t>RAN1#106-bis-e</w:t>
      </w:r>
      <w:r>
        <w:t xml:space="preserve">, </w:t>
      </w:r>
      <w:r w:rsidR="00BF39D2">
        <w:t xml:space="preserve">a table for </w:t>
      </w:r>
      <w:r w:rsidR="0075535C">
        <w:t xml:space="preserve">the RAN1 </w:t>
      </w:r>
      <w:r w:rsidR="00BF39D2">
        <w:t>UE feature</w:t>
      </w:r>
      <w:r w:rsidR="0075535C">
        <w:t xml:space="preserve"> list</w:t>
      </w:r>
      <w:r w:rsidR="00BF39D2">
        <w:t xml:space="preserve"> </w:t>
      </w:r>
      <w:r w:rsidR="0075535C">
        <w:t xml:space="preserve">for IoT-NTN </w:t>
      </w:r>
      <w:r w:rsidR="00BF39D2">
        <w:t>was agreed as a baseline</w:t>
      </w:r>
      <w:r w:rsidR="00510555">
        <w:t xml:space="preserve"> (</w:t>
      </w:r>
      <w:r w:rsidR="003E53E6" w:rsidRPr="00DE1F14">
        <w:rPr>
          <w:b/>
          <w:bCs/>
        </w:rPr>
        <w:t>Section 6 in R1-2109918</w:t>
      </w:r>
      <w:r w:rsidR="00510555">
        <w:t>)</w:t>
      </w:r>
      <w:r w:rsidR="00BF39D2">
        <w:t xml:space="preserve">, with unresolved items marked </w:t>
      </w:r>
      <w:r w:rsidR="0075535C">
        <w:t xml:space="preserve">in the table </w:t>
      </w:r>
      <w:r w:rsidR="00BF39D2">
        <w:t>with yellow highlights</w:t>
      </w:r>
      <w:r w:rsidR="0075535C">
        <w:t>.</w:t>
      </w:r>
      <w:r w:rsidR="00E179BC">
        <w:t xml:space="preserve"> In this contribution, we provide </w:t>
      </w:r>
      <w:r w:rsidR="0075535C">
        <w:t xml:space="preserve">our </w:t>
      </w:r>
      <w:r w:rsidR="00CD637C">
        <w:t>proposals</w:t>
      </w:r>
      <w:r w:rsidR="0075535C">
        <w:t xml:space="preserve"> </w:t>
      </w:r>
      <w:r w:rsidR="00DE1F14">
        <w:t xml:space="preserve">on </w:t>
      </w:r>
      <w:r w:rsidR="00C33EA5">
        <w:t>these unresolved</w:t>
      </w:r>
      <w:r w:rsidR="00DE1F14">
        <w:t xml:space="preserve"> aspects, with a goal </w:t>
      </w:r>
      <w:r w:rsidR="0075535C">
        <w:t xml:space="preserve">towards further refining the agreed </w:t>
      </w:r>
      <w:r w:rsidR="00510555">
        <w:t>table</w:t>
      </w:r>
      <w:r w:rsidR="00E179BC">
        <w:t>.</w:t>
      </w:r>
    </w:p>
    <w:p w14:paraId="52A9F7AF" w14:textId="637C114F" w:rsidR="00E071AF" w:rsidRDefault="005C2E12" w:rsidP="00E071AF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S</w:t>
      </w:r>
      <w:r w:rsidR="00FF3A7F">
        <w:t xml:space="preserve">upport </w:t>
      </w:r>
      <w:r w:rsidR="00873CD1">
        <w:t xml:space="preserve">of </w:t>
      </w:r>
      <w:r w:rsidR="00FF3A7F">
        <w:t xml:space="preserve">GEO </w:t>
      </w:r>
      <w:r w:rsidR="00873CD1">
        <w:t>vs</w:t>
      </w:r>
      <w:r w:rsidR="00FF3A7F">
        <w:t xml:space="preserve"> NGSO NTNs</w:t>
      </w:r>
    </w:p>
    <w:p w14:paraId="06DC0615" w14:textId="003A75B4" w:rsidR="00682E89" w:rsidRDefault="008928DE" w:rsidP="00D70902">
      <w:r>
        <w:t xml:space="preserve">There </w:t>
      </w:r>
      <w:r w:rsidR="00872DC9">
        <w:t>will</w:t>
      </w:r>
      <w:r>
        <w:t xml:space="preserve"> be differences in the minimum set of components that a UE needs to support to facilitate communication with an NTN cell</w:t>
      </w:r>
      <w:r w:rsidR="00762AA8">
        <w:t>,</w:t>
      </w:r>
      <w:r w:rsidR="00A06549">
        <w:t xml:space="preserve"> depending on the orbit of the satellites comprising the NTN cell—specifically, whether the satellites are geostationary (GEO) or non-geostationary (e.g., LEO, MEO)</w:t>
      </w:r>
      <w:r w:rsidR="00733D15">
        <w:t>.</w:t>
      </w:r>
      <w:r w:rsidR="00D75223">
        <w:t xml:space="preserve"> For example, all the time/frequency</w:t>
      </w:r>
      <w:r w:rsidR="004D1F1C">
        <w:t xml:space="preserve"> pre-compensation-related aspects are typically more challenging for LEO satellites than for GEO—these may potentially lead to simplified requirements to </w:t>
      </w:r>
      <w:r w:rsidR="002E3A79">
        <w:t>support GEO, as compared to supporting non-GEO (NGSO) NTNs.</w:t>
      </w:r>
      <w:r w:rsidR="009B02BB">
        <w:t xml:space="preserve"> Also, GEO NTNs may not require “</w:t>
      </w:r>
      <w:r w:rsidR="00A85EE4">
        <w:t>segment-based</w:t>
      </w:r>
      <w:r w:rsidR="009B02BB">
        <w:t xml:space="preserve"> pre</w:t>
      </w:r>
      <w:r w:rsidR="007A0393">
        <w:t>-</w:t>
      </w:r>
      <w:r w:rsidR="009B02BB">
        <w:t>compensation</w:t>
      </w:r>
      <w:proofErr w:type="gramStart"/>
      <w:r w:rsidR="009B02BB">
        <w:t>”</w:t>
      </w:r>
      <w:r w:rsidR="007A0393">
        <w:t>, since</w:t>
      </w:r>
      <w:proofErr w:type="gramEnd"/>
      <w:r w:rsidR="007A0393">
        <w:t xml:space="preserve"> the pre-compensation values for uplink transmissions may remain valid for a long period of time.</w:t>
      </w:r>
    </w:p>
    <w:p w14:paraId="1DF8EA7D" w14:textId="597DDEA6" w:rsidR="007647D7" w:rsidRDefault="007647D7" w:rsidP="00D70902">
      <w:pPr>
        <w:rPr>
          <w:b/>
          <w:bCs/>
        </w:rPr>
      </w:pPr>
      <w:r w:rsidRPr="007425C0">
        <w:rPr>
          <w:b/>
          <w:bCs/>
          <w:i/>
          <w:iCs/>
          <w:u w:val="single"/>
        </w:rPr>
        <w:t>Proposal</w:t>
      </w:r>
      <w:r w:rsidR="007425C0" w:rsidRPr="007425C0">
        <w:rPr>
          <w:b/>
          <w:bCs/>
          <w:i/>
          <w:iCs/>
          <w:u w:val="single"/>
        </w:rPr>
        <w:t xml:space="preserve"> </w:t>
      </w:r>
      <w:r w:rsidR="00A833C0">
        <w:rPr>
          <w:b/>
          <w:bCs/>
          <w:i/>
          <w:iCs/>
          <w:u w:val="single"/>
        </w:rPr>
        <w:t>1</w:t>
      </w:r>
      <w:r w:rsidRPr="00E45CA6">
        <w:rPr>
          <w:b/>
          <w:bCs/>
        </w:rPr>
        <w:t xml:space="preserve">: </w:t>
      </w:r>
      <w:r w:rsidR="00A85EE4">
        <w:rPr>
          <w:b/>
          <w:bCs/>
        </w:rPr>
        <w:t xml:space="preserve">Introduce separate </w:t>
      </w:r>
      <w:r w:rsidR="00874DDA">
        <w:rPr>
          <w:b/>
          <w:bCs/>
        </w:rPr>
        <w:t>feature groups</w:t>
      </w:r>
      <w:r w:rsidR="00A85EE4">
        <w:rPr>
          <w:b/>
          <w:bCs/>
        </w:rPr>
        <w:t>—such as 2-1-GEO, 2-1-LEO and 2-1-MEO</w:t>
      </w:r>
      <w:r w:rsidR="000458D8">
        <w:rPr>
          <w:b/>
          <w:bCs/>
        </w:rPr>
        <w:t>—corresponding to different satellite orbits, each with its own set of minimum required components.</w:t>
      </w:r>
      <w:r w:rsidR="00A85EE4">
        <w:rPr>
          <w:b/>
          <w:bCs/>
        </w:rPr>
        <w:t xml:space="preserve"> </w:t>
      </w:r>
    </w:p>
    <w:p w14:paraId="31EA77CA" w14:textId="29EF6A5D" w:rsidR="00EF3FC9" w:rsidRDefault="00005F51" w:rsidP="00EF3FC9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Capability type</w:t>
      </w:r>
      <w:r w:rsidR="00C56CEA">
        <w:t xml:space="preserve"> and need for base station to know</w:t>
      </w:r>
    </w:p>
    <w:p w14:paraId="7DA2A7BE" w14:textId="3502328F" w:rsidR="00005F51" w:rsidRPr="00821964" w:rsidRDefault="00821964" w:rsidP="00005F51">
      <w:pPr>
        <w:rPr>
          <w:b/>
          <w:bCs/>
        </w:rPr>
      </w:pPr>
      <w:r w:rsidRPr="00821964">
        <w:rPr>
          <w:b/>
          <w:bCs/>
          <w:i/>
          <w:iCs/>
          <w:u w:val="single"/>
        </w:rPr>
        <w:t>Proposal 2</w:t>
      </w:r>
      <w:r w:rsidRPr="00821964">
        <w:rPr>
          <w:b/>
          <w:bCs/>
        </w:rPr>
        <w:t xml:space="preserve">: </w:t>
      </w:r>
      <w:r w:rsidR="00005F51" w:rsidRPr="00821964">
        <w:rPr>
          <w:b/>
          <w:bCs/>
        </w:rPr>
        <w:t>A UE’s support of NTN should be a “per band” capability</w:t>
      </w:r>
      <w:r w:rsidRPr="00821964">
        <w:rPr>
          <w:b/>
          <w:bCs/>
        </w:rPr>
        <w:t>.</w:t>
      </w:r>
    </w:p>
    <w:p w14:paraId="4DF1021A" w14:textId="672B4250" w:rsidR="00EF3FC9" w:rsidRDefault="00C56CEA" w:rsidP="00D70902">
      <w:pPr>
        <w:rPr>
          <w:b/>
          <w:bCs/>
        </w:rPr>
      </w:pPr>
      <w:r w:rsidRPr="001D051F">
        <w:rPr>
          <w:b/>
          <w:bCs/>
          <w:i/>
          <w:iCs/>
          <w:u w:val="single"/>
        </w:rPr>
        <w:t>Proposal 3</w:t>
      </w:r>
      <w:r>
        <w:rPr>
          <w:b/>
          <w:bCs/>
        </w:rPr>
        <w:t xml:space="preserve">: </w:t>
      </w:r>
      <w:r w:rsidR="001D051F">
        <w:rPr>
          <w:b/>
          <w:bCs/>
        </w:rPr>
        <w:t>The base station needs to know if the UE supports the IoT-NTN feature.</w:t>
      </w:r>
    </w:p>
    <w:p w14:paraId="051070F3" w14:textId="22EB98B8" w:rsidR="0039738E" w:rsidRDefault="008B7A41" w:rsidP="0039738E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 xml:space="preserve">Separate capabilities for </w:t>
      </w:r>
      <w:r w:rsidR="0039738E">
        <w:t xml:space="preserve">NB-IoT </w:t>
      </w:r>
      <w:r>
        <w:t>and eMTC</w:t>
      </w:r>
    </w:p>
    <w:p w14:paraId="019BE9C8" w14:textId="18C4DD48" w:rsidR="0039738E" w:rsidRPr="005744CD" w:rsidRDefault="008B7A41" w:rsidP="00D70902">
      <w:r w:rsidRPr="005744CD">
        <w:t>NB-IoT</w:t>
      </w:r>
      <w:r w:rsidR="00A06A6D">
        <w:t xml:space="preserve"> and eMTC</w:t>
      </w:r>
      <w:r w:rsidRPr="005744CD">
        <w:t xml:space="preserve"> capabilities are captured separately by RAN2. While for the feature list discussion, it may be OK to discuss these together, </w:t>
      </w:r>
      <w:r w:rsidR="005744CD" w:rsidRPr="005744CD">
        <w:t>eventually, these need to be captured separately for eMTC and NB-IoT.</w:t>
      </w:r>
    </w:p>
    <w:p w14:paraId="132AF150" w14:textId="49302F65" w:rsidR="005744CD" w:rsidRDefault="005744CD" w:rsidP="00D70902">
      <w:pPr>
        <w:rPr>
          <w:b/>
          <w:bCs/>
        </w:rPr>
      </w:pPr>
      <w:r w:rsidRPr="00323D33">
        <w:rPr>
          <w:b/>
          <w:bCs/>
          <w:i/>
          <w:iCs/>
          <w:u w:val="single"/>
        </w:rPr>
        <w:t>Proposal 4</w:t>
      </w:r>
      <w:r>
        <w:rPr>
          <w:b/>
          <w:bCs/>
        </w:rPr>
        <w:t>: Capture IoT-NTN capabilities separately for eMTC and NB-IoT</w:t>
      </w:r>
    </w:p>
    <w:p w14:paraId="7FDCBFD0" w14:textId="59576B98" w:rsidR="00EA0051" w:rsidRDefault="001E76A9" w:rsidP="00EA0051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Text pertaining to the “</w:t>
      </w:r>
      <w:r w:rsidR="00A7558E">
        <w:t>Mandatory/Optional</w:t>
      </w:r>
      <w:r>
        <w:t>”</w:t>
      </w:r>
      <w:r w:rsidR="00A7558E">
        <w:t xml:space="preserve"> </w:t>
      </w:r>
      <w:r>
        <w:t>column</w:t>
      </w:r>
    </w:p>
    <w:p w14:paraId="3BBFEDFC" w14:textId="77777777" w:rsidR="00D161D7" w:rsidRPr="007D168D" w:rsidRDefault="00470C65" w:rsidP="002F6257">
      <w:r w:rsidRPr="007D168D">
        <w:t xml:space="preserve">For the three capabilities (2-1, 2-2 and 2-3), the “Mandatory/Optional” </w:t>
      </w:r>
      <w:r w:rsidR="00111452" w:rsidRPr="007D168D">
        <w:t>column contains the following text:</w:t>
      </w:r>
    </w:p>
    <w:p w14:paraId="4448074B" w14:textId="4D199FD5" w:rsidR="00111452" w:rsidRPr="007D168D" w:rsidRDefault="00111452" w:rsidP="00D161D7">
      <w:pPr>
        <w:ind w:firstLine="720"/>
        <w:rPr>
          <w:color w:val="C00000"/>
        </w:rPr>
      </w:pPr>
      <w:r w:rsidRPr="007D168D">
        <w:rPr>
          <w:color w:val="C00000"/>
        </w:rPr>
        <w:t>“</w:t>
      </w:r>
      <w:r w:rsidR="002F6257" w:rsidRPr="007D168D">
        <w:rPr>
          <w:rFonts w:cs="Arial"/>
          <w:i/>
          <w:iCs/>
          <w:color w:val="C00000"/>
          <w:szCs w:val="18"/>
        </w:rPr>
        <w:t>For UEs supporting NB-IoT/eMTC NTN, it must indicate this FG is supported</w:t>
      </w:r>
      <w:r w:rsidRPr="007D168D">
        <w:rPr>
          <w:color w:val="C00000"/>
        </w:rPr>
        <w:t>”</w:t>
      </w:r>
    </w:p>
    <w:p w14:paraId="0509D681" w14:textId="341B86A4" w:rsidR="00D161D7" w:rsidRPr="007D168D" w:rsidRDefault="00D161D7" w:rsidP="00D161D7">
      <w:r w:rsidRPr="007D168D">
        <w:t>For 2-1, this text is anyway true, and is not adding anything new. We therefore propose that this text be removed from 2-1.</w:t>
      </w:r>
    </w:p>
    <w:p w14:paraId="1F090AEF" w14:textId="404B6E20" w:rsidR="00D161D7" w:rsidRPr="007D168D" w:rsidRDefault="00D161D7" w:rsidP="00D161D7">
      <w:r w:rsidRPr="007D168D">
        <w:lastRenderedPageBreak/>
        <w:t xml:space="preserve">For 2-2 and 2-3, however, </w:t>
      </w:r>
      <w:r w:rsidR="00D56416" w:rsidRPr="007D168D">
        <w:t xml:space="preserve">given that these are features dependent on the mother feature (2-1), a UE supporting 2-1 and NOT supporting 2-2 and/or 2-3 </w:t>
      </w:r>
      <w:r w:rsidR="00A52F69" w:rsidRPr="007D168D">
        <w:t xml:space="preserve">can also (albeit with a restricted realm of operation) </w:t>
      </w:r>
      <w:r w:rsidR="007D168D" w:rsidRPr="007D168D">
        <w:t>communicate with an NTN cell. As a result, we propose to remove the quoted text from 2-2 and 2-3.</w:t>
      </w:r>
    </w:p>
    <w:p w14:paraId="28CC8A62" w14:textId="106C0665" w:rsidR="007D168D" w:rsidRDefault="009D4D12" w:rsidP="00D161D7">
      <w:pPr>
        <w:rPr>
          <w:rFonts w:cs="Arial"/>
          <w:b/>
          <w:bCs/>
          <w:szCs w:val="18"/>
        </w:rPr>
      </w:pPr>
      <w:r w:rsidRPr="000603B3">
        <w:rPr>
          <w:rFonts w:cs="Arial"/>
          <w:b/>
          <w:bCs/>
          <w:i/>
          <w:iCs/>
          <w:szCs w:val="18"/>
          <w:u w:val="single"/>
        </w:rPr>
        <w:t>Proposal 5</w:t>
      </w:r>
      <w:r w:rsidRPr="000603B3">
        <w:rPr>
          <w:rFonts w:cs="Arial"/>
          <w:b/>
          <w:bCs/>
          <w:szCs w:val="18"/>
        </w:rPr>
        <w:t>: Remove the text “</w:t>
      </w:r>
      <w:r w:rsidRPr="000603B3">
        <w:rPr>
          <w:rFonts w:cs="Arial"/>
          <w:b/>
          <w:bCs/>
          <w:i/>
          <w:iCs/>
          <w:color w:val="C00000"/>
          <w:szCs w:val="18"/>
        </w:rPr>
        <w:t>For UEs supporting NB-IoT/eMTC NTN, it must indicate this FG is supported</w:t>
      </w:r>
      <w:r w:rsidRPr="000603B3">
        <w:rPr>
          <w:rFonts w:cs="Arial"/>
          <w:b/>
          <w:bCs/>
          <w:szCs w:val="18"/>
        </w:rPr>
        <w:t xml:space="preserve">” </w:t>
      </w:r>
      <w:r w:rsidR="005504F9" w:rsidRPr="000603B3">
        <w:rPr>
          <w:rFonts w:cs="Arial"/>
          <w:b/>
          <w:bCs/>
          <w:szCs w:val="18"/>
        </w:rPr>
        <w:t xml:space="preserve">from the “Mandatory/Optional” column for </w:t>
      </w:r>
      <w:r w:rsidR="000603B3" w:rsidRPr="000603B3">
        <w:rPr>
          <w:rFonts w:cs="Arial"/>
          <w:b/>
          <w:bCs/>
          <w:szCs w:val="18"/>
        </w:rPr>
        <w:t>FG 2-1, 2-2 and 2-3.</w:t>
      </w:r>
    </w:p>
    <w:p w14:paraId="7AA65C41" w14:textId="3476E695" w:rsidR="003E3D8D" w:rsidRDefault="003E3D8D" w:rsidP="003E3D8D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Components of FG 2-1</w:t>
      </w:r>
    </w:p>
    <w:p w14:paraId="1B3DF9C1" w14:textId="2F4C62F0" w:rsidR="003E3D8D" w:rsidRDefault="005E4F72" w:rsidP="00D161D7">
      <w:pPr>
        <w:rPr>
          <w:rFonts w:cs="Arial"/>
          <w:b/>
          <w:bCs/>
          <w:szCs w:val="18"/>
        </w:rPr>
      </w:pPr>
      <w:r w:rsidRPr="00E20391">
        <w:rPr>
          <w:rFonts w:cs="Arial"/>
          <w:b/>
          <w:bCs/>
          <w:i/>
          <w:iCs/>
          <w:szCs w:val="18"/>
          <w:u w:val="single"/>
        </w:rPr>
        <w:t>Proposal 6</w:t>
      </w:r>
      <w:r>
        <w:rPr>
          <w:rFonts w:cs="Arial"/>
          <w:b/>
          <w:bCs/>
          <w:szCs w:val="18"/>
        </w:rPr>
        <w:t xml:space="preserve">: </w:t>
      </w:r>
      <w:r w:rsidR="005507C5">
        <w:rPr>
          <w:rFonts w:cs="Arial"/>
          <w:b/>
          <w:bCs/>
          <w:szCs w:val="18"/>
        </w:rPr>
        <w:t>In FG 2-1, m</w:t>
      </w:r>
      <w:r w:rsidR="00EB7BC9">
        <w:rPr>
          <w:rFonts w:cs="Arial"/>
          <w:b/>
          <w:bCs/>
          <w:szCs w:val="18"/>
        </w:rPr>
        <w:t>erge current components 4 and 5 (pertaining to UE-specific TA calculation) into a single component</w:t>
      </w:r>
    </w:p>
    <w:p w14:paraId="4D0EC5B4" w14:textId="5ABA0DDD" w:rsidR="002845A7" w:rsidRDefault="002845A7" w:rsidP="00D161D7">
      <w:pPr>
        <w:rPr>
          <w:rFonts w:cs="Arial"/>
          <w:b/>
          <w:bCs/>
          <w:szCs w:val="18"/>
        </w:rPr>
      </w:pPr>
      <w:r w:rsidRPr="00E20391">
        <w:rPr>
          <w:rFonts w:cs="Arial"/>
          <w:b/>
          <w:bCs/>
          <w:i/>
          <w:iCs/>
          <w:szCs w:val="18"/>
          <w:u w:val="single"/>
        </w:rPr>
        <w:t>Proposal 7</w:t>
      </w:r>
      <w:r>
        <w:rPr>
          <w:rFonts w:cs="Arial"/>
          <w:b/>
          <w:bCs/>
          <w:szCs w:val="18"/>
        </w:rPr>
        <w:t xml:space="preserve">: </w:t>
      </w:r>
      <w:r w:rsidR="00A92AC2">
        <w:rPr>
          <w:rFonts w:cs="Arial"/>
          <w:b/>
          <w:bCs/>
          <w:szCs w:val="18"/>
        </w:rPr>
        <w:t>In FG 2-1, c</w:t>
      </w:r>
      <w:r>
        <w:rPr>
          <w:rFonts w:cs="Arial"/>
          <w:b/>
          <w:bCs/>
          <w:szCs w:val="18"/>
        </w:rPr>
        <w:t>omponent 11</w:t>
      </w:r>
      <w:r w:rsidR="00C24B05">
        <w:rPr>
          <w:rFonts w:cs="Arial"/>
          <w:b/>
          <w:bCs/>
          <w:szCs w:val="18"/>
        </w:rPr>
        <w:t xml:space="preserve"> regarding updating time </w:t>
      </w:r>
      <w:r w:rsidR="009A7E38">
        <w:rPr>
          <w:rFonts w:cs="Arial"/>
          <w:b/>
          <w:bCs/>
          <w:szCs w:val="18"/>
        </w:rPr>
        <w:t>and frequency pre-compensation between segments may be a LEO/GEO/MEO-specific component</w:t>
      </w:r>
    </w:p>
    <w:p w14:paraId="08BA3FB2" w14:textId="01C7BD44" w:rsidR="009A7E38" w:rsidRPr="009A7E38" w:rsidRDefault="009A7E38" w:rsidP="009A7E38">
      <w:pPr>
        <w:pStyle w:val="ListParagraph"/>
        <w:numPr>
          <w:ilvl w:val="0"/>
          <w:numId w:val="44"/>
        </w:numPr>
        <w:rPr>
          <w:rFonts w:cs="Arial"/>
          <w:b/>
          <w:bCs/>
          <w:szCs w:val="18"/>
        </w:rPr>
      </w:pPr>
      <w:r>
        <w:rPr>
          <w:rFonts w:cs="Arial"/>
          <w:b/>
          <w:bCs/>
          <w:szCs w:val="18"/>
        </w:rPr>
        <w:t>This feature may not be essential for GEO, while it may be essential for LEO</w:t>
      </w:r>
      <w:r w:rsidR="00260FB4">
        <w:rPr>
          <w:rFonts w:cs="Arial"/>
          <w:b/>
          <w:bCs/>
          <w:szCs w:val="18"/>
        </w:rPr>
        <w:t xml:space="preserve"> and MEO.</w:t>
      </w:r>
    </w:p>
    <w:p w14:paraId="7CBF3113" w14:textId="77777777" w:rsidR="00A23580" w:rsidRPr="000603B3" w:rsidRDefault="00A23580" w:rsidP="00D161D7">
      <w:pPr>
        <w:rPr>
          <w:rFonts w:cs="Arial"/>
          <w:b/>
          <w:bCs/>
          <w:szCs w:val="18"/>
        </w:rPr>
      </w:pPr>
    </w:p>
    <w:p w14:paraId="5F34605D" w14:textId="77777777" w:rsidR="00790093" w:rsidRDefault="00790093" w:rsidP="00790093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Applicability of Terrestrial Network (TN) features to NTN</w:t>
      </w:r>
    </w:p>
    <w:p w14:paraId="29E7B466" w14:textId="095D6C12" w:rsidR="00E179BC" w:rsidRDefault="001C2D93" w:rsidP="00E31BC4">
      <w:r>
        <w:t xml:space="preserve">RAN1 should </w:t>
      </w:r>
      <w:r w:rsidR="00B25FEE">
        <w:t xml:space="preserve">discuss how to determine the applicability of all terrestrial network (TN) features up to Rel16 </w:t>
      </w:r>
      <w:r w:rsidR="00CB3036">
        <w:t xml:space="preserve">for the case of NTN. </w:t>
      </w:r>
      <w:r w:rsidR="001949C4">
        <w:t xml:space="preserve">This </w:t>
      </w:r>
      <w:r w:rsidR="008C336F">
        <w:t>may</w:t>
      </w:r>
      <w:r w:rsidR="001949C4">
        <w:t xml:space="preserve"> </w:t>
      </w:r>
      <w:r w:rsidR="009B2ADD">
        <w:t>involve</w:t>
      </w:r>
      <w:r w:rsidR="001949C4">
        <w:t xml:space="preserve"> a </w:t>
      </w:r>
      <w:r w:rsidR="002D40A4">
        <w:t>feature-by-feature</w:t>
      </w:r>
      <w:r w:rsidR="001949C4">
        <w:t xml:space="preserve"> determination of applicability</w:t>
      </w:r>
      <w:r w:rsidR="004925DF">
        <w:t xml:space="preserve"> to NTNs </w:t>
      </w:r>
      <w:r w:rsidR="001949C4">
        <w:t xml:space="preserve">from the </w:t>
      </w:r>
      <w:r w:rsidR="004925DF">
        <w:t xml:space="preserve">(legacy) </w:t>
      </w:r>
      <w:r w:rsidR="001949C4">
        <w:t>feature list for TNs</w:t>
      </w:r>
      <w:r w:rsidR="004925DF">
        <w:t xml:space="preserve"> up to Rel16.</w:t>
      </w:r>
      <w:r w:rsidR="009B2ADD">
        <w:t xml:space="preserve"> A default assumption on applicability may be made, which </w:t>
      </w:r>
      <w:r w:rsidR="00735119">
        <w:t>may then be overridden on a case-by-case basis, as appropriate.</w:t>
      </w:r>
    </w:p>
    <w:p w14:paraId="02FC8CE6" w14:textId="1497DA38" w:rsidR="004925DF" w:rsidRDefault="004925DF" w:rsidP="00E31BC4">
      <w:pPr>
        <w:rPr>
          <w:b/>
          <w:bCs/>
        </w:rPr>
      </w:pPr>
      <w:r w:rsidRPr="007425C0">
        <w:rPr>
          <w:b/>
          <w:bCs/>
          <w:i/>
          <w:iCs/>
          <w:u w:val="single"/>
        </w:rPr>
        <w:t>Proposal</w:t>
      </w:r>
      <w:r w:rsidR="007425C0" w:rsidRPr="007425C0">
        <w:rPr>
          <w:b/>
          <w:bCs/>
          <w:i/>
          <w:iCs/>
          <w:u w:val="single"/>
        </w:rPr>
        <w:t xml:space="preserve"> </w:t>
      </w:r>
      <w:r w:rsidR="00EC5808">
        <w:rPr>
          <w:b/>
          <w:bCs/>
          <w:i/>
          <w:iCs/>
          <w:u w:val="single"/>
        </w:rPr>
        <w:t>8</w:t>
      </w:r>
      <w:r w:rsidRPr="00043456">
        <w:rPr>
          <w:b/>
          <w:bCs/>
        </w:rPr>
        <w:t>: RAN1 to discuss the determination of applicability</w:t>
      </w:r>
      <w:r w:rsidR="005E3C63" w:rsidRPr="00043456">
        <w:rPr>
          <w:b/>
          <w:bCs/>
        </w:rPr>
        <w:t xml:space="preserve"> of Terrestrial Network</w:t>
      </w:r>
      <w:r w:rsidR="003B4796">
        <w:rPr>
          <w:b/>
          <w:bCs/>
        </w:rPr>
        <w:t xml:space="preserve"> (TN)</w:t>
      </w:r>
      <w:r w:rsidR="005E3C63" w:rsidRPr="00043456">
        <w:rPr>
          <w:b/>
          <w:bCs/>
        </w:rPr>
        <w:t xml:space="preserve"> features up to Release 16 to IoT-NTN in Release 17.</w:t>
      </w:r>
    </w:p>
    <w:p w14:paraId="46141F2D" w14:textId="288853EF" w:rsidR="00735119" w:rsidRPr="00735119" w:rsidRDefault="00735119" w:rsidP="00735119">
      <w:pPr>
        <w:pStyle w:val="ListParagraph"/>
        <w:numPr>
          <w:ilvl w:val="0"/>
          <w:numId w:val="44"/>
        </w:numPr>
        <w:rPr>
          <w:b/>
          <w:bCs/>
        </w:rPr>
      </w:pPr>
      <w:r>
        <w:rPr>
          <w:b/>
          <w:bCs/>
        </w:rPr>
        <w:t xml:space="preserve">A default assumption may </w:t>
      </w:r>
      <w:r w:rsidR="006A4AFA">
        <w:rPr>
          <w:b/>
          <w:bCs/>
        </w:rPr>
        <w:t xml:space="preserve">be </w:t>
      </w:r>
      <w:r w:rsidR="007F635A">
        <w:rPr>
          <w:b/>
          <w:bCs/>
        </w:rPr>
        <w:t>that</w:t>
      </w:r>
      <w:r>
        <w:rPr>
          <w:b/>
          <w:bCs/>
        </w:rPr>
        <w:t xml:space="preserve"> </w:t>
      </w:r>
      <w:r w:rsidR="002D40A4">
        <w:rPr>
          <w:b/>
          <w:bCs/>
        </w:rPr>
        <w:t xml:space="preserve">a </w:t>
      </w:r>
      <w:r>
        <w:rPr>
          <w:b/>
          <w:bCs/>
        </w:rPr>
        <w:t xml:space="preserve">legacy </w:t>
      </w:r>
      <w:r w:rsidR="003B4796">
        <w:rPr>
          <w:b/>
          <w:bCs/>
        </w:rPr>
        <w:t xml:space="preserve">IoT </w:t>
      </w:r>
      <w:r>
        <w:rPr>
          <w:b/>
          <w:bCs/>
        </w:rPr>
        <w:t xml:space="preserve">TN feature </w:t>
      </w:r>
      <w:r w:rsidR="002D40A4">
        <w:rPr>
          <w:b/>
          <w:bCs/>
        </w:rPr>
        <w:t>is</w:t>
      </w:r>
      <w:r w:rsidR="007F635A">
        <w:rPr>
          <w:b/>
          <w:bCs/>
        </w:rPr>
        <w:t xml:space="preserve"> supported for </w:t>
      </w:r>
      <w:r w:rsidR="003B4796">
        <w:rPr>
          <w:b/>
          <w:bCs/>
        </w:rPr>
        <w:t>IoT-</w:t>
      </w:r>
      <w:r w:rsidR="007F635A">
        <w:rPr>
          <w:b/>
          <w:bCs/>
        </w:rPr>
        <w:t xml:space="preserve">NTN, </w:t>
      </w:r>
      <w:r w:rsidR="003B4796">
        <w:rPr>
          <w:b/>
          <w:bCs/>
        </w:rPr>
        <w:t>unless it</w:t>
      </w:r>
      <w:r w:rsidR="002D40A4">
        <w:rPr>
          <w:b/>
          <w:bCs/>
        </w:rPr>
        <w:t xml:space="preserve"> </w:t>
      </w:r>
      <w:r w:rsidR="006A4AFA">
        <w:rPr>
          <w:b/>
          <w:bCs/>
        </w:rPr>
        <w:t xml:space="preserve">is </w:t>
      </w:r>
      <w:r w:rsidR="008B632A">
        <w:rPr>
          <w:b/>
          <w:bCs/>
        </w:rPr>
        <w:t xml:space="preserve">explicitly </w:t>
      </w:r>
      <w:r w:rsidR="006A4AFA">
        <w:rPr>
          <w:b/>
          <w:bCs/>
        </w:rPr>
        <w:t xml:space="preserve">demonstrated that it </w:t>
      </w:r>
      <w:r w:rsidR="002D40A4">
        <w:rPr>
          <w:b/>
          <w:bCs/>
        </w:rPr>
        <w:t xml:space="preserve">cannot be supported/is not applicable to </w:t>
      </w:r>
      <w:r w:rsidR="003B4796">
        <w:rPr>
          <w:b/>
          <w:bCs/>
        </w:rPr>
        <w:t>IoT-</w:t>
      </w:r>
      <w:r w:rsidR="002D40A4">
        <w:rPr>
          <w:b/>
          <w:bCs/>
        </w:rPr>
        <w:t>NTN.</w:t>
      </w:r>
    </w:p>
    <w:p w14:paraId="72FCCC8A" w14:textId="1D08AA9D" w:rsidR="00874392" w:rsidRDefault="00874392" w:rsidP="008743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Conclusion</w:t>
      </w:r>
    </w:p>
    <w:p w14:paraId="2BBDA5A1" w14:textId="6AB45F49" w:rsidR="009D5294" w:rsidRDefault="00BC3A60" w:rsidP="006C1D96">
      <w:r>
        <w:t>We summarize our proposals below.</w:t>
      </w:r>
    </w:p>
    <w:p w14:paraId="7CDD6864" w14:textId="77777777" w:rsidR="00491882" w:rsidRDefault="00491882" w:rsidP="00491882">
      <w:pPr>
        <w:rPr>
          <w:b/>
          <w:bCs/>
        </w:rPr>
      </w:pPr>
      <w:r w:rsidRPr="007425C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1</w:t>
      </w:r>
      <w:r w:rsidRPr="00E45CA6">
        <w:rPr>
          <w:b/>
          <w:bCs/>
        </w:rPr>
        <w:t xml:space="preserve">: </w:t>
      </w:r>
      <w:r>
        <w:rPr>
          <w:b/>
          <w:bCs/>
        </w:rPr>
        <w:t xml:space="preserve">Introduce separate feature groups—such as 2-1-GEO, 2-1-LEO and 2-1-MEO—corresponding to different satellite orbits, each with its own set of minimum required components. </w:t>
      </w:r>
    </w:p>
    <w:p w14:paraId="54FABBEA" w14:textId="77777777" w:rsidR="00491882" w:rsidRPr="00821964" w:rsidRDefault="00491882" w:rsidP="00491882">
      <w:pPr>
        <w:rPr>
          <w:b/>
          <w:bCs/>
        </w:rPr>
      </w:pPr>
      <w:r w:rsidRPr="00821964">
        <w:rPr>
          <w:b/>
          <w:bCs/>
          <w:i/>
          <w:iCs/>
          <w:u w:val="single"/>
        </w:rPr>
        <w:t>Proposal 2</w:t>
      </w:r>
      <w:r w:rsidRPr="00821964">
        <w:rPr>
          <w:b/>
          <w:bCs/>
        </w:rPr>
        <w:t>: A UE’s support of NTN should be a “per band” capability.</w:t>
      </w:r>
    </w:p>
    <w:p w14:paraId="3207D5F4" w14:textId="77777777" w:rsidR="00491882" w:rsidRDefault="00491882" w:rsidP="00491882">
      <w:pPr>
        <w:rPr>
          <w:b/>
          <w:bCs/>
        </w:rPr>
      </w:pPr>
      <w:r w:rsidRPr="001D051F">
        <w:rPr>
          <w:b/>
          <w:bCs/>
          <w:i/>
          <w:iCs/>
          <w:u w:val="single"/>
        </w:rPr>
        <w:t>Proposal 3</w:t>
      </w:r>
      <w:r>
        <w:rPr>
          <w:b/>
          <w:bCs/>
        </w:rPr>
        <w:t>: The base station needs to know if the UE supports the IoT-NTN feature.</w:t>
      </w:r>
    </w:p>
    <w:p w14:paraId="71A7B23A" w14:textId="77777777" w:rsidR="00491882" w:rsidRDefault="00491882" w:rsidP="00491882">
      <w:pPr>
        <w:rPr>
          <w:b/>
          <w:bCs/>
        </w:rPr>
      </w:pPr>
      <w:r w:rsidRPr="00323D33">
        <w:rPr>
          <w:b/>
          <w:bCs/>
          <w:i/>
          <w:iCs/>
          <w:u w:val="single"/>
        </w:rPr>
        <w:t>Proposal 4</w:t>
      </w:r>
      <w:r>
        <w:rPr>
          <w:b/>
          <w:bCs/>
        </w:rPr>
        <w:t>: Capture IoT-NTN capabilities separately for eMTC and NB-IoT</w:t>
      </w:r>
    </w:p>
    <w:p w14:paraId="496D4AF0" w14:textId="77777777" w:rsidR="00491882" w:rsidRDefault="00491882" w:rsidP="00491882">
      <w:pPr>
        <w:rPr>
          <w:rFonts w:cs="Arial"/>
          <w:b/>
          <w:bCs/>
          <w:szCs w:val="18"/>
        </w:rPr>
      </w:pPr>
      <w:r w:rsidRPr="000603B3">
        <w:rPr>
          <w:rFonts w:cs="Arial"/>
          <w:b/>
          <w:bCs/>
          <w:i/>
          <w:iCs/>
          <w:szCs w:val="18"/>
          <w:u w:val="single"/>
        </w:rPr>
        <w:t>Proposal 5</w:t>
      </w:r>
      <w:r w:rsidRPr="000603B3">
        <w:rPr>
          <w:rFonts w:cs="Arial"/>
          <w:b/>
          <w:bCs/>
          <w:szCs w:val="18"/>
        </w:rPr>
        <w:t>: Remove the text “</w:t>
      </w:r>
      <w:r w:rsidRPr="000603B3">
        <w:rPr>
          <w:rFonts w:cs="Arial"/>
          <w:b/>
          <w:bCs/>
          <w:i/>
          <w:iCs/>
          <w:color w:val="C00000"/>
          <w:szCs w:val="18"/>
        </w:rPr>
        <w:t>For UEs supporting NB-IoT/eMTC NTN, it must indicate this FG is supported</w:t>
      </w:r>
      <w:r w:rsidRPr="000603B3">
        <w:rPr>
          <w:rFonts w:cs="Arial"/>
          <w:b/>
          <w:bCs/>
          <w:szCs w:val="18"/>
        </w:rPr>
        <w:t>” from the “Mandatory/Optional” column for FG 2-1, 2-2 and 2-3.</w:t>
      </w:r>
    </w:p>
    <w:p w14:paraId="376E2288" w14:textId="77777777" w:rsidR="00FE0E3C" w:rsidRDefault="00FE0E3C" w:rsidP="00FE0E3C">
      <w:pPr>
        <w:rPr>
          <w:rFonts w:cs="Arial"/>
          <w:b/>
          <w:bCs/>
          <w:szCs w:val="18"/>
        </w:rPr>
      </w:pPr>
      <w:r w:rsidRPr="00E20391">
        <w:rPr>
          <w:rFonts w:cs="Arial"/>
          <w:b/>
          <w:bCs/>
          <w:i/>
          <w:iCs/>
          <w:szCs w:val="18"/>
          <w:u w:val="single"/>
        </w:rPr>
        <w:t>Proposal 6</w:t>
      </w:r>
      <w:r>
        <w:rPr>
          <w:rFonts w:cs="Arial"/>
          <w:b/>
          <w:bCs/>
          <w:szCs w:val="18"/>
        </w:rPr>
        <w:t>: In FG 2-1, merge current components 4 and 5 (pertaining to UE-specific TA calculation) into a single component</w:t>
      </w:r>
    </w:p>
    <w:p w14:paraId="172F866A" w14:textId="77777777" w:rsidR="00FE0E3C" w:rsidRDefault="00FE0E3C" w:rsidP="00FE0E3C">
      <w:pPr>
        <w:rPr>
          <w:rFonts w:cs="Arial"/>
          <w:b/>
          <w:bCs/>
          <w:szCs w:val="18"/>
        </w:rPr>
      </w:pPr>
      <w:r w:rsidRPr="00E20391">
        <w:rPr>
          <w:rFonts w:cs="Arial"/>
          <w:b/>
          <w:bCs/>
          <w:i/>
          <w:iCs/>
          <w:szCs w:val="18"/>
          <w:u w:val="single"/>
        </w:rPr>
        <w:t>Proposal 7</w:t>
      </w:r>
      <w:r>
        <w:rPr>
          <w:rFonts w:cs="Arial"/>
          <w:b/>
          <w:bCs/>
          <w:szCs w:val="18"/>
        </w:rPr>
        <w:t>: In FG 2-1, component 11 regarding updating time and frequency pre-compensation between segments may be a LEO/GEO/MEO-specific component</w:t>
      </w:r>
    </w:p>
    <w:p w14:paraId="15443D2B" w14:textId="77777777" w:rsidR="00FE0E3C" w:rsidRPr="009A7E38" w:rsidRDefault="00FE0E3C" w:rsidP="00FE0E3C">
      <w:pPr>
        <w:pStyle w:val="ListParagraph"/>
        <w:numPr>
          <w:ilvl w:val="0"/>
          <w:numId w:val="44"/>
        </w:numPr>
        <w:rPr>
          <w:rFonts w:cs="Arial"/>
          <w:b/>
          <w:bCs/>
          <w:szCs w:val="18"/>
        </w:rPr>
      </w:pPr>
      <w:r>
        <w:rPr>
          <w:rFonts w:cs="Arial"/>
          <w:b/>
          <w:bCs/>
          <w:szCs w:val="18"/>
        </w:rPr>
        <w:t>This feature may not be essential for GEO, while it may be essential for LEO and MEO.</w:t>
      </w:r>
    </w:p>
    <w:p w14:paraId="7729E22F" w14:textId="77777777" w:rsidR="008B632A" w:rsidRDefault="008B632A" w:rsidP="008B632A">
      <w:pPr>
        <w:rPr>
          <w:b/>
          <w:bCs/>
        </w:rPr>
      </w:pPr>
      <w:r w:rsidRPr="007425C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8</w:t>
      </w:r>
      <w:r w:rsidRPr="00043456">
        <w:rPr>
          <w:b/>
          <w:bCs/>
        </w:rPr>
        <w:t>: RAN1 to discuss the determination of applicability of Terrestrial Network</w:t>
      </w:r>
      <w:r>
        <w:rPr>
          <w:b/>
          <w:bCs/>
        </w:rPr>
        <w:t xml:space="preserve"> (TN)</w:t>
      </w:r>
      <w:r w:rsidRPr="00043456">
        <w:rPr>
          <w:b/>
          <w:bCs/>
        </w:rPr>
        <w:t xml:space="preserve"> features up to Release 16 to IoT-NTN in Release 17.</w:t>
      </w:r>
    </w:p>
    <w:p w14:paraId="62880045" w14:textId="62F3BA74" w:rsidR="003E3336" w:rsidRPr="008B632A" w:rsidRDefault="008B632A" w:rsidP="004A5978">
      <w:pPr>
        <w:pStyle w:val="ListParagraph"/>
        <w:numPr>
          <w:ilvl w:val="0"/>
          <w:numId w:val="44"/>
        </w:numPr>
        <w:rPr>
          <w:b/>
          <w:bCs/>
        </w:rPr>
      </w:pPr>
      <w:r w:rsidRPr="008B632A">
        <w:rPr>
          <w:b/>
          <w:bCs/>
        </w:rPr>
        <w:t>A default assumption may be that a legacy IoT TN feature is supported for IoT-NTN, unless it is explicitly demonstrated that it cannot be supported/is not applicable to IoT-NTN.</w:t>
      </w:r>
    </w:p>
    <w:sectPr w:rsidR="003E3336" w:rsidRPr="008B632A" w:rsidSect="00366AB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CD60F5" w14:textId="77777777" w:rsidR="006E030C" w:rsidRDefault="006E030C">
      <w:pPr>
        <w:spacing w:after="0"/>
      </w:pPr>
      <w:r>
        <w:separator/>
      </w:r>
    </w:p>
  </w:endnote>
  <w:endnote w:type="continuationSeparator" w:id="0">
    <w:p w14:paraId="44FCEAAC" w14:textId="77777777" w:rsidR="006E030C" w:rsidRDefault="006E030C">
      <w:pPr>
        <w:spacing w:after="0"/>
      </w:pPr>
      <w:r>
        <w:continuationSeparator/>
      </w:r>
    </w:p>
  </w:endnote>
  <w:endnote w:type="continuationNotice" w:id="1">
    <w:p w14:paraId="2D0EDDA3" w14:textId="77777777" w:rsidR="006E030C" w:rsidRDefault="006E03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E71BE" w14:textId="77777777" w:rsidR="00717CCC" w:rsidRDefault="00717CCC" w:rsidP="00717C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717CCC" w:rsidRDefault="00717CCC" w:rsidP="00717C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918FF" w14:textId="77777777" w:rsidR="00717CCC" w:rsidRDefault="00717CCC" w:rsidP="00717CCC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E5F9B" w14:textId="77777777" w:rsidR="00717CCC" w:rsidRDefault="00717C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F5EE29" w14:textId="77777777" w:rsidR="006E030C" w:rsidRDefault="006E030C">
      <w:pPr>
        <w:spacing w:after="0"/>
      </w:pPr>
      <w:r>
        <w:separator/>
      </w:r>
    </w:p>
  </w:footnote>
  <w:footnote w:type="continuationSeparator" w:id="0">
    <w:p w14:paraId="67DC7823" w14:textId="77777777" w:rsidR="006E030C" w:rsidRDefault="006E030C">
      <w:pPr>
        <w:spacing w:after="0"/>
      </w:pPr>
      <w:r>
        <w:continuationSeparator/>
      </w:r>
    </w:p>
  </w:footnote>
  <w:footnote w:type="continuationNotice" w:id="1">
    <w:p w14:paraId="7CA5DED6" w14:textId="77777777" w:rsidR="006E030C" w:rsidRDefault="006E03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B40BB" w14:textId="77777777" w:rsidR="00717CCC" w:rsidRDefault="00717C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CB547" w14:textId="77777777" w:rsidR="00717CCC" w:rsidRDefault="00717C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E6497" w14:textId="77777777" w:rsidR="00717CCC" w:rsidRDefault="00717C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B1F8A"/>
    <w:multiLevelType w:val="hybridMultilevel"/>
    <w:tmpl w:val="3C141C8C"/>
    <w:lvl w:ilvl="0" w:tplc="DB1E8984">
      <w:start w:val="1"/>
      <w:numFmt w:val="decimal"/>
      <w:lvlText w:val="%1."/>
      <w:lvlJc w:val="left"/>
      <w:pPr>
        <w:ind w:left="360" w:hanging="360"/>
      </w:pPr>
      <w:rPr>
        <w:rFonts w:asciiTheme="majorHAnsi" w:eastAsia="MS Gothic" w:hAnsiTheme="majorHAnsi" w:cstheme="majorHAnsi" w:hint="default"/>
        <w:sz w:val="1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14A44"/>
    <w:multiLevelType w:val="hybridMultilevel"/>
    <w:tmpl w:val="1BFC0B26"/>
    <w:lvl w:ilvl="0" w:tplc="93D2524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95959"/>
    <w:multiLevelType w:val="multilevel"/>
    <w:tmpl w:val="86281D2C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915EC"/>
    <w:multiLevelType w:val="hybridMultilevel"/>
    <w:tmpl w:val="42D08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E75FB"/>
    <w:multiLevelType w:val="hybridMultilevel"/>
    <w:tmpl w:val="9FAE7886"/>
    <w:lvl w:ilvl="0" w:tplc="9502E7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6552D"/>
    <w:multiLevelType w:val="hybridMultilevel"/>
    <w:tmpl w:val="4362991E"/>
    <w:lvl w:ilvl="0" w:tplc="9B7699C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1F438E"/>
    <w:multiLevelType w:val="hybridMultilevel"/>
    <w:tmpl w:val="C91E270E"/>
    <w:lvl w:ilvl="0" w:tplc="C846A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C505A8C"/>
    <w:multiLevelType w:val="hybridMultilevel"/>
    <w:tmpl w:val="05CE023E"/>
    <w:lvl w:ilvl="0" w:tplc="F8AEC09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442A79"/>
    <w:multiLevelType w:val="hybridMultilevel"/>
    <w:tmpl w:val="2ED2A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75015B"/>
    <w:multiLevelType w:val="hybridMultilevel"/>
    <w:tmpl w:val="50728B40"/>
    <w:lvl w:ilvl="0" w:tplc="A92433FA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B7AF6"/>
    <w:multiLevelType w:val="hybridMultilevel"/>
    <w:tmpl w:val="E23E2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9129C4"/>
    <w:multiLevelType w:val="hybridMultilevel"/>
    <w:tmpl w:val="0100A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AD47F2"/>
    <w:multiLevelType w:val="hybridMultilevel"/>
    <w:tmpl w:val="6BA2C6C8"/>
    <w:lvl w:ilvl="0" w:tplc="C83ADCD8">
      <w:start w:val="1"/>
      <w:numFmt w:val="decimal"/>
      <w:lvlText w:val="%1."/>
      <w:lvlJc w:val="left"/>
      <w:pPr>
        <w:ind w:left="360" w:hanging="360"/>
      </w:pPr>
      <w:rPr>
        <w:rFonts w:asciiTheme="majorHAnsi" w:eastAsia="MS Gothic" w:hAnsiTheme="majorHAnsi" w:cstheme="majorHAnsi"/>
        <w:sz w:val="18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5E67411"/>
    <w:multiLevelType w:val="hybridMultilevel"/>
    <w:tmpl w:val="198C7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14A3C"/>
    <w:multiLevelType w:val="hybridMultilevel"/>
    <w:tmpl w:val="E70C69B8"/>
    <w:lvl w:ilvl="0" w:tplc="54247DCC">
      <w:start w:val="1"/>
      <w:numFmt w:val="decimal"/>
      <w:lvlText w:val="%1."/>
      <w:lvlJc w:val="left"/>
      <w:pPr>
        <w:ind w:left="360" w:hanging="360"/>
      </w:pPr>
      <w:rPr>
        <w:rFonts w:asciiTheme="majorHAnsi" w:eastAsia="MS Gothic" w:hAnsiTheme="majorHAnsi" w:cstheme="majorHAnsi" w:hint="default"/>
        <w:sz w:val="1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EF5B78"/>
    <w:multiLevelType w:val="hybridMultilevel"/>
    <w:tmpl w:val="5D84E93A"/>
    <w:lvl w:ilvl="0" w:tplc="29667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028548E"/>
    <w:multiLevelType w:val="hybridMultilevel"/>
    <w:tmpl w:val="4C12B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7430FE"/>
    <w:multiLevelType w:val="hybridMultilevel"/>
    <w:tmpl w:val="8DDE0BAC"/>
    <w:lvl w:ilvl="0" w:tplc="2774EADC">
      <w:start w:val="1"/>
      <w:numFmt w:val="decimal"/>
      <w:lvlText w:val="%1."/>
      <w:lvlJc w:val="left"/>
      <w:pPr>
        <w:ind w:left="360" w:hanging="360"/>
      </w:pPr>
      <w:rPr>
        <w:rFonts w:asciiTheme="majorHAnsi" w:eastAsia="MS Gothic" w:hAnsiTheme="majorHAnsi" w:cstheme="majorHAnsi" w:hint="default"/>
        <w:sz w:val="1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12553E"/>
    <w:multiLevelType w:val="hybridMultilevel"/>
    <w:tmpl w:val="CCCAE0F0"/>
    <w:lvl w:ilvl="0" w:tplc="9F483416">
      <w:start w:val="1"/>
      <w:numFmt w:val="decimal"/>
      <w:lvlText w:val="%1."/>
      <w:lvlJc w:val="left"/>
      <w:pPr>
        <w:ind w:left="360" w:hanging="360"/>
      </w:pPr>
      <w:rPr>
        <w:rFonts w:asciiTheme="majorHAnsi" w:eastAsia="MS Gothic" w:hAnsiTheme="majorHAnsi" w:cstheme="majorHAnsi" w:hint="default"/>
        <w:sz w:val="1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DE6B3D"/>
    <w:multiLevelType w:val="hybridMultilevel"/>
    <w:tmpl w:val="BD6C8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4977"/>
    <w:multiLevelType w:val="hybridMultilevel"/>
    <w:tmpl w:val="4178077E"/>
    <w:lvl w:ilvl="0" w:tplc="24C2A28E">
      <w:start w:val="1"/>
      <w:numFmt w:val="decimal"/>
      <w:lvlText w:val="%1."/>
      <w:lvlJc w:val="left"/>
      <w:pPr>
        <w:ind w:left="360" w:hanging="360"/>
      </w:pPr>
      <w:rPr>
        <w:rFonts w:asciiTheme="majorHAnsi" w:eastAsia="MS Gothic" w:hAnsiTheme="majorHAnsi" w:cstheme="majorHAnsi" w:hint="default"/>
        <w:sz w:val="1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440B09"/>
    <w:multiLevelType w:val="hybridMultilevel"/>
    <w:tmpl w:val="A3882214"/>
    <w:lvl w:ilvl="0" w:tplc="D4A0B4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132C70"/>
    <w:multiLevelType w:val="hybridMultilevel"/>
    <w:tmpl w:val="567A1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A802C91"/>
    <w:multiLevelType w:val="multilevel"/>
    <w:tmpl w:val="5A802C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626980"/>
    <w:multiLevelType w:val="hybridMultilevel"/>
    <w:tmpl w:val="2A50C1B2"/>
    <w:lvl w:ilvl="0" w:tplc="52C0F836">
      <w:start w:val="1"/>
      <w:numFmt w:val="decimal"/>
      <w:lvlText w:val="%1."/>
      <w:lvlJc w:val="left"/>
      <w:pPr>
        <w:ind w:left="360" w:hanging="360"/>
      </w:pPr>
      <w:rPr>
        <w:rFonts w:asciiTheme="majorHAnsi" w:eastAsia="MS Gothic" w:hAnsiTheme="majorHAnsi" w:cstheme="majorHAnsi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6C015A"/>
    <w:multiLevelType w:val="hybridMultilevel"/>
    <w:tmpl w:val="36469B48"/>
    <w:lvl w:ilvl="0" w:tplc="01AC7BDA">
      <w:start w:val="1"/>
      <w:numFmt w:val="decimal"/>
      <w:lvlText w:val="%1."/>
      <w:lvlJc w:val="left"/>
      <w:pPr>
        <w:ind w:left="360" w:hanging="360"/>
      </w:pPr>
      <w:rPr>
        <w:rFonts w:asciiTheme="majorHAnsi" w:eastAsia="MS Gothic" w:hAnsiTheme="majorHAnsi" w:cstheme="majorHAnsi" w:hint="default"/>
        <w:sz w:val="1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7E0C12"/>
    <w:multiLevelType w:val="hybridMultilevel"/>
    <w:tmpl w:val="847E5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F0E2FB9"/>
    <w:multiLevelType w:val="hybridMultilevel"/>
    <w:tmpl w:val="3392B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40" w15:restartNumberingAfterBreak="0">
    <w:nsid w:val="792425B8"/>
    <w:multiLevelType w:val="hybridMultilevel"/>
    <w:tmpl w:val="53FAF7FC"/>
    <w:lvl w:ilvl="0" w:tplc="00EEEB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2" w15:restartNumberingAfterBreak="0">
    <w:nsid w:val="7EA71F53"/>
    <w:multiLevelType w:val="hybridMultilevel"/>
    <w:tmpl w:val="01EC27B2"/>
    <w:lvl w:ilvl="0" w:tplc="ED0C7B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9A160F"/>
    <w:multiLevelType w:val="hybridMultilevel"/>
    <w:tmpl w:val="AA063DB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25"/>
  </w:num>
  <w:num w:numId="4">
    <w:abstractNumId w:val="33"/>
  </w:num>
  <w:num w:numId="5">
    <w:abstractNumId w:val="20"/>
  </w:num>
  <w:num w:numId="6">
    <w:abstractNumId w:val="37"/>
  </w:num>
  <w:num w:numId="7">
    <w:abstractNumId w:val="39"/>
  </w:num>
  <w:num w:numId="8">
    <w:abstractNumId w:val="12"/>
  </w:num>
  <w:num w:numId="9">
    <w:abstractNumId w:val="41"/>
  </w:num>
  <w:num w:numId="10">
    <w:abstractNumId w:val="23"/>
  </w:num>
  <w:num w:numId="11">
    <w:abstractNumId w:val="9"/>
  </w:num>
  <w:num w:numId="12">
    <w:abstractNumId w:val="3"/>
  </w:num>
  <w:num w:numId="13">
    <w:abstractNumId w:val="43"/>
  </w:num>
  <w:num w:numId="14">
    <w:abstractNumId w:val="19"/>
  </w:num>
  <w:num w:numId="15">
    <w:abstractNumId w:val="10"/>
  </w:num>
  <w:num w:numId="16">
    <w:abstractNumId w:val="4"/>
  </w:num>
  <w:num w:numId="17">
    <w:abstractNumId w:val="13"/>
  </w:num>
  <w:num w:numId="18">
    <w:abstractNumId w:val="36"/>
  </w:num>
  <w:num w:numId="19">
    <w:abstractNumId w:val="24"/>
  </w:num>
  <w:num w:numId="20">
    <w:abstractNumId w:val="18"/>
  </w:num>
  <w:num w:numId="21">
    <w:abstractNumId w:val="22"/>
  </w:num>
  <w:num w:numId="22">
    <w:abstractNumId w:val="8"/>
  </w:num>
  <w:num w:numId="23">
    <w:abstractNumId w:val="40"/>
  </w:num>
  <w:num w:numId="24">
    <w:abstractNumId w:val="11"/>
  </w:num>
  <w:num w:numId="25">
    <w:abstractNumId w:val="42"/>
  </w:num>
  <w:num w:numId="26">
    <w:abstractNumId w:val="30"/>
  </w:num>
  <w:num w:numId="27">
    <w:abstractNumId w:val="7"/>
  </w:num>
  <w:num w:numId="28">
    <w:abstractNumId w:val="28"/>
  </w:num>
  <w:num w:numId="29">
    <w:abstractNumId w:val="32"/>
  </w:num>
  <w:num w:numId="30">
    <w:abstractNumId w:val="38"/>
  </w:num>
  <w:num w:numId="31">
    <w:abstractNumId w:val="16"/>
  </w:num>
  <w:num w:numId="32">
    <w:abstractNumId w:val="15"/>
  </w:num>
  <w:num w:numId="33">
    <w:abstractNumId w:val="14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  <w:num w:numId="43">
    <w:abstractNumId w:val="5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oofState w:grammar="clean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24CF"/>
    <w:rsid w:val="00005C95"/>
    <w:rsid w:val="00005F51"/>
    <w:rsid w:val="0000789C"/>
    <w:rsid w:val="00013B5C"/>
    <w:rsid w:val="0002016E"/>
    <w:rsid w:val="00022216"/>
    <w:rsid w:val="000236C6"/>
    <w:rsid w:val="000273BD"/>
    <w:rsid w:val="000345F6"/>
    <w:rsid w:val="000369C3"/>
    <w:rsid w:val="00036B14"/>
    <w:rsid w:val="00037582"/>
    <w:rsid w:val="00037919"/>
    <w:rsid w:val="0004041F"/>
    <w:rsid w:val="00042869"/>
    <w:rsid w:val="00042BED"/>
    <w:rsid w:val="00043456"/>
    <w:rsid w:val="000458D8"/>
    <w:rsid w:val="00045BDF"/>
    <w:rsid w:val="00045EFB"/>
    <w:rsid w:val="00046020"/>
    <w:rsid w:val="000500F7"/>
    <w:rsid w:val="00054E5C"/>
    <w:rsid w:val="000603B3"/>
    <w:rsid w:val="00063D75"/>
    <w:rsid w:val="00063DAE"/>
    <w:rsid w:val="00064278"/>
    <w:rsid w:val="000707F2"/>
    <w:rsid w:val="0007530E"/>
    <w:rsid w:val="00081CDD"/>
    <w:rsid w:val="0008247D"/>
    <w:rsid w:val="00085FF9"/>
    <w:rsid w:val="000877DA"/>
    <w:rsid w:val="00087D07"/>
    <w:rsid w:val="00091116"/>
    <w:rsid w:val="00097E6B"/>
    <w:rsid w:val="000B1990"/>
    <w:rsid w:val="000C6FD1"/>
    <w:rsid w:val="000D23CF"/>
    <w:rsid w:val="000D4151"/>
    <w:rsid w:val="000E1342"/>
    <w:rsid w:val="000E330D"/>
    <w:rsid w:val="000E7606"/>
    <w:rsid w:val="000E792E"/>
    <w:rsid w:val="000F32B6"/>
    <w:rsid w:val="000F70C7"/>
    <w:rsid w:val="000F7431"/>
    <w:rsid w:val="0010253A"/>
    <w:rsid w:val="001030EF"/>
    <w:rsid w:val="00111452"/>
    <w:rsid w:val="00114D8E"/>
    <w:rsid w:val="00116377"/>
    <w:rsid w:val="001172E8"/>
    <w:rsid w:val="00122D19"/>
    <w:rsid w:val="001232EC"/>
    <w:rsid w:val="00124E5D"/>
    <w:rsid w:val="00125DAC"/>
    <w:rsid w:val="0013602A"/>
    <w:rsid w:val="001369AD"/>
    <w:rsid w:val="0014302F"/>
    <w:rsid w:val="00144F61"/>
    <w:rsid w:val="00146E52"/>
    <w:rsid w:val="001536B5"/>
    <w:rsid w:val="00154C05"/>
    <w:rsid w:val="0015697F"/>
    <w:rsid w:val="0015790E"/>
    <w:rsid w:val="001624E9"/>
    <w:rsid w:val="00166645"/>
    <w:rsid w:val="00172DAC"/>
    <w:rsid w:val="001745C2"/>
    <w:rsid w:val="001839D7"/>
    <w:rsid w:val="00190E24"/>
    <w:rsid w:val="001949C4"/>
    <w:rsid w:val="001A1E09"/>
    <w:rsid w:val="001A452F"/>
    <w:rsid w:val="001A703B"/>
    <w:rsid w:val="001B0C3D"/>
    <w:rsid w:val="001B159B"/>
    <w:rsid w:val="001B1620"/>
    <w:rsid w:val="001B1B3A"/>
    <w:rsid w:val="001B1EC7"/>
    <w:rsid w:val="001B2123"/>
    <w:rsid w:val="001B2E20"/>
    <w:rsid w:val="001B36F8"/>
    <w:rsid w:val="001B624B"/>
    <w:rsid w:val="001C099B"/>
    <w:rsid w:val="001C2D93"/>
    <w:rsid w:val="001C3BBA"/>
    <w:rsid w:val="001C6F21"/>
    <w:rsid w:val="001C7BC2"/>
    <w:rsid w:val="001D0240"/>
    <w:rsid w:val="001D051F"/>
    <w:rsid w:val="001D0759"/>
    <w:rsid w:val="001D3811"/>
    <w:rsid w:val="001D4728"/>
    <w:rsid w:val="001D63C1"/>
    <w:rsid w:val="001E008E"/>
    <w:rsid w:val="001E0B5B"/>
    <w:rsid w:val="001E1134"/>
    <w:rsid w:val="001E76A9"/>
    <w:rsid w:val="001F70E2"/>
    <w:rsid w:val="00205F8E"/>
    <w:rsid w:val="00207541"/>
    <w:rsid w:val="00207596"/>
    <w:rsid w:val="002162F8"/>
    <w:rsid w:val="002217B4"/>
    <w:rsid w:val="00230057"/>
    <w:rsid w:val="00241706"/>
    <w:rsid w:val="002424FF"/>
    <w:rsid w:val="00244F6A"/>
    <w:rsid w:val="00245257"/>
    <w:rsid w:val="002500D0"/>
    <w:rsid w:val="0025012E"/>
    <w:rsid w:val="00255F0A"/>
    <w:rsid w:val="00256BFC"/>
    <w:rsid w:val="002576F2"/>
    <w:rsid w:val="00260902"/>
    <w:rsid w:val="00260FB4"/>
    <w:rsid w:val="00262FFA"/>
    <w:rsid w:val="00264BDF"/>
    <w:rsid w:val="00266E71"/>
    <w:rsid w:val="002742EE"/>
    <w:rsid w:val="002804CE"/>
    <w:rsid w:val="00283707"/>
    <w:rsid w:val="002845A7"/>
    <w:rsid w:val="00287B8D"/>
    <w:rsid w:val="002902B9"/>
    <w:rsid w:val="00291786"/>
    <w:rsid w:val="00293348"/>
    <w:rsid w:val="0029388D"/>
    <w:rsid w:val="0029478C"/>
    <w:rsid w:val="00296171"/>
    <w:rsid w:val="002A30DB"/>
    <w:rsid w:val="002A5D6B"/>
    <w:rsid w:val="002B037E"/>
    <w:rsid w:val="002B2E77"/>
    <w:rsid w:val="002B3546"/>
    <w:rsid w:val="002B57F0"/>
    <w:rsid w:val="002B6729"/>
    <w:rsid w:val="002C343D"/>
    <w:rsid w:val="002C481C"/>
    <w:rsid w:val="002D0EEA"/>
    <w:rsid w:val="002D20C0"/>
    <w:rsid w:val="002D40A4"/>
    <w:rsid w:val="002D43BB"/>
    <w:rsid w:val="002D6DA9"/>
    <w:rsid w:val="002D79FA"/>
    <w:rsid w:val="002E0ABA"/>
    <w:rsid w:val="002E3A79"/>
    <w:rsid w:val="002F6257"/>
    <w:rsid w:val="002F64B5"/>
    <w:rsid w:val="003009A5"/>
    <w:rsid w:val="00314B41"/>
    <w:rsid w:val="00315EF0"/>
    <w:rsid w:val="003214D1"/>
    <w:rsid w:val="003216E0"/>
    <w:rsid w:val="00321A89"/>
    <w:rsid w:val="00323D33"/>
    <w:rsid w:val="00332949"/>
    <w:rsid w:val="003362EB"/>
    <w:rsid w:val="0033638B"/>
    <w:rsid w:val="00340BCE"/>
    <w:rsid w:val="00340D26"/>
    <w:rsid w:val="0034289C"/>
    <w:rsid w:val="00343629"/>
    <w:rsid w:val="0035424A"/>
    <w:rsid w:val="00355044"/>
    <w:rsid w:val="00355ABE"/>
    <w:rsid w:val="00362F3B"/>
    <w:rsid w:val="00363577"/>
    <w:rsid w:val="00366AB8"/>
    <w:rsid w:val="00382105"/>
    <w:rsid w:val="0038329C"/>
    <w:rsid w:val="00386F50"/>
    <w:rsid w:val="00387099"/>
    <w:rsid w:val="003907A8"/>
    <w:rsid w:val="0039464A"/>
    <w:rsid w:val="0039588C"/>
    <w:rsid w:val="0039738E"/>
    <w:rsid w:val="003A012C"/>
    <w:rsid w:val="003A0390"/>
    <w:rsid w:val="003B0F05"/>
    <w:rsid w:val="003B2922"/>
    <w:rsid w:val="003B4796"/>
    <w:rsid w:val="003C0419"/>
    <w:rsid w:val="003C0B13"/>
    <w:rsid w:val="003C2830"/>
    <w:rsid w:val="003C5BD8"/>
    <w:rsid w:val="003C7506"/>
    <w:rsid w:val="003D3F92"/>
    <w:rsid w:val="003E3336"/>
    <w:rsid w:val="003E3D8D"/>
    <w:rsid w:val="003E4EB7"/>
    <w:rsid w:val="003E53E6"/>
    <w:rsid w:val="003E6133"/>
    <w:rsid w:val="003E75F5"/>
    <w:rsid w:val="003F1061"/>
    <w:rsid w:val="003F14E0"/>
    <w:rsid w:val="003F60AF"/>
    <w:rsid w:val="00400A2E"/>
    <w:rsid w:val="00403D87"/>
    <w:rsid w:val="00404129"/>
    <w:rsid w:val="0040494C"/>
    <w:rsid w:val="004052F4"/>
    <w:rsid w:val="004054D3"/>
    <w:rsid w:val="00410A8D"/>
    <w:rsid w:val="0041454F"/>
    <w:rsid w:val="004147F2"/>
    <w:rsid w:val="0041506D"/>
    <w:rsid w:val="00417D60"/>
    <w:rsid w:val="00421B57"/>
    <w:rsid w:val="00422609"/>
    <w:rsid w:val="00423CEA"/>
    <w:rsid w:val="00426EA5"/>
    <w:rsid w:val="00427E2F"/>
    <w:rsid w:val="00431380"/>
    <w:rsid w:val="00436176"/>
    <w:rsid w:val="00436D42"/>
    <w:rsid w:val="00440303"/>
    <w:rsid w:val="00442B3E"/>
    <w:rsid w:val="004456A9"/>
    <w:rsid w:val="00446569"/>
    <w:rsid w:val="004504C9"/>
    <w:rsid w:val="004523F4"/>
    <w:rsid w:val="00456A24"/>
    <w:rsid w:val="00457C6E"/>
    <w:rsid w:val="00461019"/>
    <w:rsid w:val="0046275D"/>
    <w:rsid w:val="00464CA3"/>
    <w:rsid w:val="0046551E"/>
    <w:rsid w:val="00470C65"/>
    <w:rsid w:val="00476823"/>
    <w:rsid w:val="00476C2A"/>
    <w:rsid w:val="00477E3E"/>
    <w:rsid w:val="00480C10"/>
    <w:rsid w:val="00481F55"/>
    <w:rsid w:val="00483468"/>
    <w:rsid w:val="00483DE7"/>
    <w:rsid w:val="00491882"/>
    <w:rsid w:val="0049213F"/>
    <w:rsid w:val="004925DF"/>
    <w:rsid w:val="0049613A"/>
    <w:rsid w:val="004A2F97"/>
    <w:rsid w:val="004A3081"/>
    <w:rsid w:val="004A488A"/>
    <w:rsid w:val="004A772F"/>
    <w:rsid w:val="004B49AA"/>
    <w:rsid w:val="004C0ECA"/>
    <w:rsid w:val="004C5F77"/>
    <w:rsid w:val="004D1F1C"/>
    <w:rsid w:val="004D3F76"/>
    <w:rsid w:val="004D4F96"/>
    <w:rsid w:val="004D634E"/>
    <w:rsid w:val="004E26B2"/>
    <w:rsid w:val="004E7551"/>
    <w:rsid w:val="004F25FD"/>
    <w:rsid w:val="004F53B6"/>
    <w:rsid w:val="004F622E"/>
    <w:rsid w:val="00500B75"/>
    <w:rsid w:val="00501346"/>
    <w:rsid w:val="00505979"/>
    <w:rsid w:val="00510555"/>
    <w:rsid w:val="0051062E"/>
    <w:rsid w:val="0051448E"/>
    <w:rsid w:val="00517C94"/>
    <w:rsid w:val="00517F9D"/>
    <w:rsid w:val="00520E7B"/>
    <w:rsid w:val="00520F4B"/>
    <w:rsid w:val="00521317"/>
    <w:rsid w:val="00524FF3"/>
    <w:rsid w:val="00527F03"/>
    <w:rsid w:val="00527F8A"/>
    <w:rsid w:val="005328B5"/>
    <w:rsid w:val="00537332"/>
    <w:rsid w:val="005446A1"/>
    <w:rsid w:val="0054719B"/>
    <w:rsid w:val="005504F9"/>
    <w:rsid w:val="005507C5"/>
    <w:rsid w:val="0055738F"/>
    <w:rsid w:val="00557D4B"/>
    <w:rsid w:val="00560F08"/>
    <w:rsid w:val="0056101D"/>
    <w:rsid w:val="0056568B"/>
    <w:rsid w:val="00572FDD"/>
    <w:rsid w:val="0057366E"/>
    <w:rsid w:val="005744CD"/>
    <w:rsid w:val="00575054"/>
    <w:rsid w:val="005778BD"/>
    <w:rsid w:val="00582CAB"/>
    <w:rsid w:val="0058443E"/>
    <w:rsid w:val="00586156"/>
    <w:rsid w:val="005864D9"/>
    <w:rsid w:val="0059466F"/>
    <w:rsid w:val="00595973"/>
    <w:rsid w:val="00597070"/>
    <w:rsid w:val="005A312F"/>
    <w:rsid w:val="005A65BE"/>
    <w:rsid w:val="005A6DE2"/>
    <w:rsid w:val="005A74CD"/>
    <w:rsid w:val="005B0A3D"/>
    <w:rsid w:val="005B5084"/>
    <w:rsid w:val="005B738C"/>
    <w:rsid w:val="005C2E12"/>
    <w:rsid w:val="005C4F4B"/>
    <w:rsid w:val="005D201C"/>
    <w:rsid w:val="005D3E25"/>
    <w:rsid w:val="005D5534"/>
    <w:rsid w:val="005D6B6E"/>
    <w:rsid w:val="005E3C63"/>
    <w:rsid w:val="005E4F72"/>
    <w:rsid w:val="005E55F7"/>
    <w:rsid w:val="005E6C8C"/>
    <w:rsid w:val="005F1605"/>
    <w:rsid w:val="005F3A25"/>
    <w:rsid w:val="00600B37"/>
    <w:rsid w:val="00601F79"/>
    <w:rsid w:val="00610DC9"/>
    <w:rsid w:val="00612769"/>
    <w:rsid w:val="00620296"/>
    <w:rsid w:val="006209CD"/>
    <w:rsid w:val="00623263"/>
    <w:rsid w:val="00632162"/>
    <w:rsid w:val="00635308"/>
    <w:rsid w:val="00640363"/>
    <w:rsid w:val="0064384F"/>
    <w:rsid w:val="006438A3"/>
    <w:rsid w:val="00647D8A"/>
    <w:rsid w:val="00651E33"/>
    <w:rsid w:val="006530FE"/>
    <w:rsid w:val="00662A01"/>
    <w:rsid w:val="00667A31"/>
    <w:rsid w:val="00674409"/>
    <w:rsid w:val="00674A20"/>
    <w:rsid w:val="006805FD"/>
    <w:rsid w:val="006807E3"/>
    <w:rsid w:val="006813FA"/>
    <w:rsid w:val="00682E89"/>
    <w:rsid w:val="00683D31"/>
    <w:rsid w:val="006915FF"/>
    <w:rsid w:val="00694ED0"/>
    <w:rsid w:val="00696FB8"/>
    <w:rsid w:val="006A4AFA"/>
    <w:rsid w:val="006A712D"/>
    <w:rsid w:val="006B2436"/>
    <w:rsid w:val="006B3A59"/>
    <w:rsid w:val="006B79E3"/>
    <w:rsid w:val="006C1D96"/>
    <w:rsid w:val="006C5ED9"/>
    <w:rsid w:val="006D7A22"/>
    <w:rsid w:val="006E030C"/>
    <w:rsid w:val="006E175E"/>
    <w:rsid w:val="006E254E"/>
    <w:rsid w:val="006E7B65"/>
    <w:rsid w:val="006F61A7"/>
    <w:rsid w:val="00702EB8"/>
    <w:rsid w:val="007067A8"/>
    <w:rsid w:val="00710096"/>
    <w:rsid w:val="00712BC8"/>
    <w:rsid w:val="007130B5"/>
    <w:rsid w:val="00714746"/>
    <w:rsid w:val="007165F3"/>
    <w:rsid w:val="00717CCC"/>
    <w:rsid w:val="00722924"/>
    <w:rsid w:val="007331DA"/>
    <w:rsid w:val="00733D15"/>
    <w:rsid w:val="00735119"/>
    <w:rsid w:val="007366C0"/>
    <w:rsid w:val="00737E91"/>
    <w:rsid w:val="007425C0"/>
    <w:rsid w:val="00743D60"/>
    <w:rsid w:val="00745B50"/>
    <w:rsid w:val="00745BCD"/>
    <w:rsid w:val="00750465"/>
    <w:rsid w:val="0075364E"/>
    <w:rsid w:val="0075535C"/>
    <w:rsid w:val="0075604E"/>
    <w:rsid w:val="007575DD"/>
    <w:rsid w:val="00762AA8"/>
    <w:rsid w:val="00764301"/>
    <w:rsid w:val="007647D7"/>
    <w:rsid w:val="00784C01"/>
    <w:rsid w:val="00784DC8"/>
    <w:rsid w:val="00790093"/>
    <w:rsid w:val="0079416A"/>
    <w:rsid w:val="00794448"/>
    <w:rsid w:val="0079447F"/>
    <w:rsid w:val="0079595B"/>
    <w:rsid w:val="007A0393"/>
    <w:rsid w:val="007B62B2"/>
    <w:rsid w:val="007C0C7E"/>
    <w:rsid w:val="007C1101"/>
    <w:rsid w:val="007C370A"/>
    <w:rsid w:val="007C3908"/>
    <w:rsid w:val="007C475C"/>
    <w:rsid w:val="007D168D"/>
    <w:rsid w:val="007D38E7"/>
    <w:rsid w:val="007D4525"/>
    <w:rsid w:val="007D461B"/>
    <w:rsid w:val="007E1D59"/>
    <w:rsid w:val="007E24D6"/>
    <w:rsid w:val="007E6B5F"/>
    <w:rsid w:val="007E7769"/>
    <w:rsid w:val="007F635A"/>
    <w:rsid w:val="007F6421"/>
    <w:rsid w:val="007F72E4"/>
    <w:rsid w:val="0080168D"/>
    <w:rsid w:val="008019C7"/>
    <w:rsid w:val="00801FF0"/>
    <w:rsid w:val="00810180"/>
    <w:rsid w:val="00810FE0"/>
    <w:rsid w:val="00814286"/>
    <w:rsid w:val="00820856"/>
    <w:rsid w:val="008208F6"/>
    <w:rsid w:val="00820A4A"/>
    <w:rsid w:val="00821964"/>
    <w:rsid w:val="008221BA"/>
    <w:rsid w:val="008260B0"/>
    <w:rsid w:val="008319A5"/>
    <w:rsid w:val="0083283A"/>
    <w:rsid w:val="00835C35"/>
    <w:rsid w:val="00844952"/>
    <w:rsid w:val="00850096"/>
    <w:rsid w:val="008539A0"/>
    <w:rsid w:val="0085676B"/>
    <w:rsid w:val="008569C8"/>
    <w:rsid w:val="008639B9"/>
    <w:rsid w:val="0086481F"/>
    <w:rsid w:val="00866ACC"/>
    <w:rsid w:val="00866F78"/>
    <w:rsid w:val="00867677"/>
    <w:rsid w:val="00872DC9"/>
    <w:rsid w:val="00873CD1"/>
    <w:rsid w:val="00874392"/>
    <w:rsid w:val="008744D8"/>
    <w:rsid w:val="00874DDA"/>
    <w:rsid w:val="0088116B"/>
    <w:rsid w:val="00887229"/>
    <w:rsid w:val="0089184B"/>
    <w:rsid w:val="0089235F"/>
    <w:rsid w:val="008928DE"/>
    <w:rsid w:val="00893CDD"/>
    <w:rsid w:val="00893F41"/>
    <w:rsid w:val="008A0F3C"/>
    <w:rsid w:val="008A385C"/>
    <w:rsid w:val="008A43E0"/>
    <w:rsid w:val="008B06FC"/>
    <w:rsid w:val="008B340A"/>
    <w:rsid w:val="008B3FAF"/>
    <w:rsid w:val="008B5CE3"/>
    <w:rsid w:val="008B632A"/>
    <w:rsid w:val="008B6A31"/>
    <w:rsid w:val="008B7A41"/>
    <w:rsid w:val="008B7F3F"/>
    <w:rsid w:val="008C075D"/>
    <w:rsid w:val="008C0D11"/>
    <w:rsid w:val="008C336F"/>
    <w:rsid w:val="008C6866"/>
    <w:rsid w:val="008C6B2A"/>
    <w:rsid w:val="008C724C"/>
    <w:rsid w:val="008D022D"/>
    <w:rsid w:val="008D58EC"/>
    <w:rsid w:val="008D60F7"/>
    <w:rsid w:val="008E469A"/>
    <w:rsid w:val="008F135D"/>
    <w:rsid w:val="008F345D"/>
    <w:rsid w:val="008F3E1A"/>
    <w:rsid w:val="00900B1E"/>
    <w:rsid w:val="00900DDD"/>
    <w:rsid w:val="00901E73"/>
    <w:rsid w:val="00904028"/>
    <w:rsid w:val="00905BDA"/>
    <w:rsid w:val="00905CEA"/>
    <w:rsid w:val="00910683"/>
    <w:rsid w:val="00911E51"/>
    <w:rsid w:val="009227A4"/>
    <w:rsid w:val="0092732D"/>
    <w:rsid w:val="00927AA0"/>
    <w:rsid w:val="00930937"/>
    <w:rsid w:val="00932470"/>
    <w:rsid w:val="00933FE6"/>
    <w:rsid w:val="00935E08"/>
    <w:rsid w:val="0094102A"/>
    <w:rsid w:val="009423AD"/>
    <w:rsid w:val="0094584E"/>
    <w:rsid w:val="009467F5"/>
    <w:rsid w:val="00946B91"/>
    <w:rsid w:val="00946ECC"/>
    <w:rsid w:val="00952795"/>
    <w:rsid w:val="00953207"/>
    <w:rsid w:val="00954101"/>
    <w:rsid w:val="009541E0"/>
    <w:rsid w:val="0095520E"/>
    <w:rsid w:val="00963807"/>
    <w:rsid w:val="00965F9D"/>
    <w:rsid w:val="00972BE8"/>
    <w:rsid w:val="00975017"/>
    <w:rsid w:val="00977172"/>
    <w:rsid w:val="00980734"/>
    <w:rsid w:val="00983CCC"/>
    <w:rsid w:val="00983EFA"/>
    <w:rsid w:val="0099393C"/>
    <w:rsid w:val="009A0514"/>
    <w:rsid w:val="009A3F14"/>
    <w:rsid w:val="009A63A0"/>
    <w:rsid w:val="009A6EF5"/>
    <w:rsid w:val="009A7E38"/>
    <w:rsid w:val="009B02BB"/>
    <w:rsid w:val="009B2ADD"/>
    <w:rsid w:val="009B35DE"/>
    <w:rsid w:val="009B4B23"/>
    <w:rsid w:val="009B5D79"/>
    <w:rsid w:val="009B6873"/>
    <w:rsid w:val="009C1283"/>
    <w:rsid w:val="009C1D18"/>
    <w:rsid w:val="009D25C6"/>
    <w:rsid w:val="009D4D12"/>
    <w:rsid w:val="009D5294"/>
    <w:rsid w:val="009E2C20"/>
    <w:rsid w:val="009F0072"/>
    <w:rsid w:val="009F10B9"/>
    <w:rsid w:val="009F4BFB"/>
    <w:rsid w:val="00A02592"/>
    <w:rsid w:val="00A060DA"/>
    <w:rsid w:val="00A06549"/>
    <w:rsid w:val="00A06A6D"/>
    <w:rsid w:val="00A06BA2"/>
    <w:rsid w:val="00A06D2F"/>
    <w:rsid w:val="00A06DC4"/>
    <w:rsid w:val="00A168C0"/>
    <w:rsid w:val="00A23580"/>
    <w:rsid w:val="00A238B6"/>
    <w:rsid w:val="00A27BA8"/>
    <w:rsid w:val="00A30C68"/>
    <w:rsid w:val="00A33AC8"/>
    <w:rsid w:val="00A34ED4"/>
    <w:rsid w:val="00A40DBD"/>
    <w:rsid w:val="00A450A0"/>
    <w:rsid w:val="00A45641"/>
    <w:rsid w:val="00A45914"/>
    <w:rsid w:val="00A5043D"/>
    <w:rsid w:val="00A52349"/>
    <w:rsid w:val="00A52F69"/>
    <w:rsid w:val="00A544C8"/>
    <w:rsid w:val="00A54682"/>
    <w:rsid w:val="00A553CA"/>
    <w:rsid w:val="00A624A4"/>
    <w:rsid w:val="00A64E9E"/>
    <w:rsid w:val="00A65F7B"/>
    <w:rsid w:val="00A70500"/>
    <w:rsid w:val="00A7558E"/>
    <w:rsid w:val="00A75C87"/>
    <w:rsid w:val="00A770E6"/>
    <w:rsid w:val="00A8319B"/>
    <w:rsid w:val="00A833C0"/>
    <w:rsid w:val="00A85EE4"/>
    <w:rsid w:val="00A86E0F"/>
    <w:rsid w:val="00A91281"/>
    <w:rsid w:val="00A9229B"/>
    <w:rsid w:val="00A92AC2"/>
    <w:rsid w:val="00A93ED9"/>
    <w:rsid w:val="00A9498E"/>
    <w:rsid w:val="00AA0C73"/>
    <w:rsid w:val="00AA43FE"/>
    <w:rsid w:val="00AA6350"/>
    <w:rsid w:val="00AA685A"/>
    <w:rsid w:val="00AB0159"/>
    <w:rsid w:val="00AB16E1"/>
    <w:rsid w:val="00AB425B"/>
    <w:rsid w:val="00AB6DBE"/>
    <w:rsid w:val="00AC0FBA"/>
    <w:rsid w:val="00AC15EF"/>
    <w:rsid w:val="00AC1F3F"/>
    <w:rsid w:val="00AC2E25"/>
    <w:rsid w:val="00AD0869"/>
    <w:rsid w:val="00AD2460"/>
    <w:rsid w:val="00AD444A"/>
    <w:rsid w:val="00AD7F52"/>
    <w:rsid w:val="00AE187B"/>
    <w:rsid w:val="00AE6490"/>
    <w:rsid w:val="00AE7EB7"/>
    <w:rsid w:val="00AF1253"/>
    <w:rsid w:val="00AF71CE"/>
    <w:rsid w:val="00B00EDB"/>
    <w:rsid w:val="00B01592"/>
    <w:rsid w:val="00B01FC2"/>
    <w:rsid w:val="00B06C22"/>
    <w:rsid w:val="00B06E32"/>
    <w:rsid w:val="00B07575"/>
    <w:rsid w:val="00B07B9D"/>
    <w:rsid w:val="00B16A2A"/>
    <w:rsid w:val="00B17212"/>
    <w:rsid w:val="00B17547"/>
    <w:rsid w:val="00B25FEE"/>
    <w:rsid w:val="00B25FF6"/>
    <w:rsid w:val="00B30767"/>
    <w:rsid w:val="00B31932"/>
    <w:rsid w:val="00B32506"/>
    <w:rsid w:val="00B339A0"/>
    <w:rsid w:val="00B34CFC"/>
    <w:rsid w:val="00B3722A"/>
    <w:rsid w:val="00B40DA9"/>
    <w:rsid w:val="00B42AB1"/>
    <w:rsid w:val="00B44059"/>
    <w:rsid w:val="00B46110"/>
    <w:rsid w:val="00B4627F"/>
    <w:rsid w:val="00B50E38"/>
    <w:rsid w:val="00B517F2"/>
    <w:rsid w:val="00B53A01"/>
    <w:rsid w:val="00B54CD3"/>
    <w:rsid w:val="00B563DD"/>
    <w:rsid w:val="00B60449"/>
    <w:rsid w:val="00B64F64"/>
    <w:rsid w:val="00B66A8B"/>
    <w:rsid w:val="00B67771"/>
    <w:rsid w:val="00B71340"/>
    <w:rsid w:val="00B73FDF"/>
    <w:rsid w:val="00B80622"/>
    <w:rsid w:val="00B822DC"/>
    <w:rsid w:val="00B82E59"/>
    <w:rsid w:val="00B84F3B"/>
    <w:rsid w:val="00B86860"/>
    <w:rsid w:val="00B96062"/>
    <w:rsid w:val="00BA11DA"/>
    <w:rsid w:val="00BA219C"/>
    <w:rsid w:val="00BA2B73"/>
    <w:rsid w:val="00BA2E5A"/>
    <w:rsid w:val="00BA3BB8"/>
    <w:rsid w:val="00BA6CD3"/>
    <w:rsid w:val="00BA7766"/>
    <w:rsid w:val="00BA77E3"/>
    <w:rsid w:val="00BB3434"/>
    <w:rsid w:val="00BB4DA5"/>
    <w:rsid w:val="00BC0D0A"/>
    <w:rsid w:val="00BC2BDF"/>
    <w:rsid w:val="00BC3A60"/>
    <w:rsid w:val="00BC54A0"/>
    <w:rsid w:val="00BD0F8A"/>
    <w:rsid w:val="00BD52C2"/>
    <w:rsid w:val="00BE1144"/>
    <w:rsid w:val="00BE7E96"/>
    <w:rsid w:val="00BF27FB"/>
    <w:rsid w:val="00BF39D2"/>
    <w:rsid w:val="00BF66DB"/>
    <w:rsid w:val="00C0511A"/>
    <w:rsid w:val="00C05451"/>
    <w:rsid w:val="00C056B0"/>
    <w:rsid w:val="00C05C78"/>
    <w:rsid w:val="00C07A6B"/>
    <w:rsid w:val="00C15973"/>
    <w:rsid w:val="00C16784"/>
    <w:rsid w:val="00C23CDB"/>
    <w:rsid w:val="00C24B05"/>
    <w:rsid w:val="00C262A2"/>
    <w:rsid w:val="00C30A2F"/>
    <w:rsid w:val="00C32B82"/>
    <w:rsid w:val="00C33EA5"/>
    <w:rsid w:val="00C36A53"/>
    <w:rsid w:val="00C4411B"/>
    <w:rsid w:val="00C51EDA"/>
    <w:rsid w:val="00C55A89"/>
    <w:rsid w:val="00C56CEA"/>
    <w:rsid w:val="00C57A08"/>
    <w:rsid w:val="00C65431"/>
    <w:rsid w:val="00C672BE"/>
    <w:rsid w:val="00C70EAA"/>
    <w:rsid w:val="00C7266E"/>
    <w:rsid w:val="00C74923"/>
    <w:rsid w:val="00C74C69"/>
    <w:rsid w:val="00C75552"/>
    <w:rsid w:val="00C76404"/>
    <w:rsid w:val="00C778FF"/>
    <w:rsid w:val="00C80DB7"/>
    <w:rsid w:val="00C84CE5"/>
    <w:rsid w:val="00C90D68"/>
    <w:rsid w:val="00C94E0B"/>
    <w:rsid w:val="00CB2165"/>
    <w:rsid w:val="00CB3036"/>
    <w:rsid w:val="00CB37F3"/>
    <w:rsid w:val="00CB704C"/>
    <w:rsid w:val="00CC10E9"/>
    <w:rsid w:val="00CD37DE"/>
    <w:rsid w:val="00CD4191"/>
    <w:rsid w:val="00CD471E"/>
    <w:rsid w:val="00CD637C"/>
    <w:rsid w:val="00CD6583"/>
    <w:rsid w:val="00CE04F7"/>
    <w:rsid w:val="00CE6983"/>
    <w:rsid w:val="00CF45DD"/>
    <w:rsid w:val="00CF6345"/>
    <w:rsid w:val="00CF7625"/>
    <w:rsid w:val="00D03AD4"/>
    <w:rsid w:val="00D047DA"/>
    <w:rsid w:val="00D04BEA"/>
    <w:rsid w:val="00D05C13"/>
    <w:rsid w:val="00D06194"/>
    <w:rsid w:val="00D0651D"/>
    <w:rsid w:val="00D10724"/>
    <w:rsid w:val="00D14140"/>
    <w:rsid w:val="00D15E27"/>
    <w:rsid w:val="00D161D7"/>
    <w:rsid w:val="00D201DA"/>
    <w:rsid w:val="00D24C0A"/>
    <w:rsid w:val="00D26187"/>
    <w:rsid w:val="00D2656E"/>
    <w:rsid w:val="00D3097D"/>
    <w:rsid w:val="00D31AEF"/>
    <w:rsid w:val="00D40150"/>
    <w:rsid w:val="00D4085B"/>
    <w:rsid w:val="00D434AA"/>
    <w:rsid w:val="00D435C2"/>
    <w:rsid w:val="00D43F0A"/>
    <w:rsid w:val="00D53702"/>
    <w:rsid w:val="00D56416"/>
    <w:rsid w:val="00D57B76"/>
    <w:rsid w:val="00D6066F"/>
    <w:rsid w:val="00D60EF1"/>
    <w:rsid w:val="00D61DA9"/>
    <w:rsid w:val="00D62A52"/>
    <w:rsid w:val="00D65537"/>
    <w:rsid w:val="00D70902"/>
    <w:rsid w:val="00D75223"/>
    <w:rsid w:val="00D76286"/>
    <w:rsid w:val="00D82162"/>
    <w:rsid w:val="00D8305F"/>
    <w:rsid w:val="00D87DDE"/>
    <w:rsid w:val="00D90AFC"/>
    <w:rsid w:val="00D90D15"/>
    <w:rsid w:val="00D95F0C"/>
    <w:rsid w:val="00D96190"/>
    <w:rsid w:val="00DA3BF2"/>
    <w:rsid w:val="00DA7FFB"/>
    <w:rsid w:val="00DB26F6"/>
    <w:rsid w:val="00DC6CBC"/>
    <w:rsid w:val="00DC6F4D"/>
    <w:rsid w:val="00DD7CCC"/>
    <w:rsid w:val="00DE1F14"/>
    <w:rsid w:val="00DE20C2"/>
    <w:rsid w:val="00DE5EF4"/>
    <w:rsid w:val="00DE72C9"/>
    <w:rsid w:val="00DF3E88"/>
    <w:rsid w:val="00DF469B"/>
    <w:rsid w:val="00E02AC2"/>
    <w:rsid w:val="00E030A6"/>
    <w:rsid w:val="00E03FCE"/>
    <w:rsid w:val="00E06B08"/>
    <w:rsid w:val="00E071AF"/>
    <w:rsid w:val="00E07417"/>
    <w:rsid w:val="00E15ED1"/>
    <w:rsid w:val="00E1694B"/>
    <w:rsid w:val="00E179BC"/>
    <w:rsid w:val="00E17F89"/>
    <w:rsid w:val="00E20391"/>
    <w:rsid w:val="00E2389A"/>
    <w:rsid w:val="00E251FD"/>
    <w:rsid w:val="00E26E6A"/>
    <w:rsid w:val="00E3117A"/>
    <w:rsid w:val="00E31684"/>
    <w:rsid w:val="00E31BC4"/>
    <w:rsid w:val="00E32DDA"/>
    <w:rsid w:val="00E32EE8"/>
    <w:rsid w:val="00E357FC"/>
    <w:rsid w:val="00E37D8F"/>
    <w:rsid w:val="00E45CA6"/>
    <w:rsid w:val="00E4711B"/>
    <w:rsid w:val="00E537D5"/>
    <w:rsid w:val="00E5486D"/>
    <w:rsid w:val="00E571C2"/>
    <w:rsid w:val="00E605EA"/>
    <w:rsid w:val="00E64FFE"/>
    <w:rsid w:val="00E670D8"/>
    <w:rsid w:val="00E74900"/>
    <w:rsid w:val="00E74BCC"/>
    <w:rsid w:val="00E836D1"/>
    <w:rsid w:val="00E85198"/>
    <w:rsid w:val="00E860F3"/>
    <w:rsid w:val="00E958B0"/>
    <w:rsid w:val="00E958E3"/>
    <w:rsid w:val="00E9595B"/>
    <w:rsid w:val="00EA0051"/>
    <w:rsid w:val="00EA2860"/>
    <w:rsid w:val="00EA2CBA"/>
    <w:rsid w:val="00EA7263"/>
    <w:rsid w:val="00EA74C5"/>
    <w:rsid w:val="00EB2E5E"/>
    <w:rsid w:val="00EB76BB"/>
    <w:rsid w:val="00EB7BC9"/>
    <w:rsid w:val="00EC2CE5"/>
    <w:rsid w:val="00EC5808"/>
    <w:rsid w:val="00EC720F"/>
    <w:rsid w:val="00ED1A12"/>
    <w:rsid w:val="00ED2BD4"/>
    <w:rsid w:val="00ED316F"/>
    <w:rsid w:val="00ED6A14"/>
    <w:rsid w:val="00EE0351"/>
    <w:rsid w:val="00EE564D"/>
    <w:rsid w:val="00EF15B3"/>
    <w:rsid w:val="00EF38BF"/>
    <w:rsid w:val="00EF3FC9"/>
    <w:rsid w:val="00EF4C3F"/>
    <w:rsid w:val="00EF786E"/>
    <w:rsid w:val="00F00BC4"/>
    <w:rsid w:val="00F0175D"/>
    <w:rsid w:val="00F0352C"/>
    <w:rsid w:val="00F03D87"/>
    <w:rsid w:val="00F1098D"/>
    <w:rsid w:val="00F10A93"/>
    <w:rsid w:val="00F11B37"/>
    <w:rsid w:val="00F127CE"/>
    <w:rsid w:val="00F1324F"/>
    <w:rsid w:val="00F22702"/>
    <w:rsid w:val="00F2289D"/>
    <w:rsid w:val="00F26AE1"/>
    <w:rsid w:val="00F30092"/>
    <w:rsid w:val="00F31C29"/>
    <w:rsid w:val="00F321D7"/>
    <w:rsid w:val="00F34287"/>
    <w:rsid w:val="00F36DAE"/>
    <w:rsid w:val="00F43612"/>
    <w:rsid w:val="00F43A50"/>
    <w:rsid w:val="00F45DBB"/>
    <w:rsid w:val="00F460EB"/>
    <w:rsid w:val="00F46141"/>
    <w:rsid w:val="00F472FC"/>
    <w:rsid w:val="00F47E3B"/>
    <w:rsid w:val="00F50996"/>
    <w:rsid w:val="00F5209A"/>
    <w:rsid w:val="00F542EA"/>
    <w:rsid w:val="00F5785D"/>
    <w:rsid w:val="00F629D0"/>
    <w:rsid w:val="00F637C3"/>
    <w:rsid w:val="00F63972"/>
    <w:rsid w:val="00F66D3C"/>
    <w:rsid w:val="00F67F4B"/>
    <w:rsid w:val="00F731F3"/>
    <w:rsid w:val="00F83FCC"/>
    <w:rsid w:val="00F845AA"/>
    <w:rsid w:val="00F85BD3"/>
    <w:rsid w:val="00F8682C"/>
    <w:rsid w:val="00F90E18"/>
    <w:rsid w:val="00F90E1B"/>
    <w:rsid w:val="00F92013"/>
    <w:rsid w:val="00FA00E1"/>
    <w:rsid w:val="00FA0994"/>
    <w:rsid w:val="00FA10DD"/>
    <w:rsid w:val="00FA2448"/>
    <w:rsid w:val="00FA3D40"/>
    <w:rsid w:val="00FA4419"/>
    <w:rsid w:val="00FA4CAA"/>
    <w:rsid w:val="00FA693D"/>
    <w:rsid w:val="00FA76F3"/>
    <w:rsid w:val="00FA7D36"/>
    <w:rsid w:val="00FB1A4D"/>
    <w:rsid w:val="00FB5638"/>
    <w:rsid w:val="00FB59C6"/>
    <w:rsid w:val="00FB7C76"/>
    <w:rsid w:val="00FD4AD2"/>
    <w:rsid w:val="00FD7CBB"/>
    <w:rsid w:val="00FE0E3C"/>
    <w:rsid w:val="00FE44AD"/>
    <w:rsid w:val="00FF1B74"/>
    <w:rsid w:val="00FF2302"/>
    <w:rsid w:val="00FF2EA9"/>
    <w:rsid w:val="00FF3A7F"/>
    <w:rsid w:val="00FF3C1E"/>
    <w:rsid w:val="00FF51D2"/>
    <w:rsid w:val="00FF5A0C"/>
    <w:rsid w:val="00FF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632A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paragraph" w:customStyle="1" w:styleId="Style1">
    <w:name w:val="Style1"/>
    <w:basedOn w:val="Heading2"/>
    <w:link w:val="Style1Char"/>
    <w:qFormat/>
    <w:rsid w:val="00874392"/>
    <w:rPr>
      <w:color w:val="auto"/>
    </w:rPr>
  </w:style>
  <w:style w:type="paragraph" w:customStyle="1" w:styleId="Style2">
    <w:name w:val="Style2"/>
    <w:basedOn w:val="Style1"/>
    <w:link w:val="Style2Char"/>
    <w:qFormat/>
    <w:rsid w:val="00874392"/>
    <w:rPr>
      <w:rFonts w:ascii="Arial" w:hAnsi="Arial"/>
    </w:rPr>
  </w:style>
  <w:style w:type="character" w:customStyle="1" w:styleId="Style1Char">
    <w:name w:val="Style1 Char"/>
    <w:basedOn w:val="Heading2Char"/>
    <w:link w:val="Style1"/>
    <w:rsid w:val="0087439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styleId="GridTable1Light">
    <w:name w:val="Grid Table 1 Light"/>
    <w:basedOn w:val="TableNormal"/>
    <w:uiPriority w:val="46"/>
    <w:rsid w:val="00EA286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2Char">
    <w:name w:val="Style2 Char"/>
    <w:basedOn w:val="Style1Char"/>
    <w:link w:val="Style2"/>
    <w:rsid w:val="00874392"/>
    <w:rPr>
      <w:rFonts w:ascii="Arial" w:eastAsiaTheme="majorEastAsia" w:hAnsi="Arial" w:cstheme="majorBidi"/>
      <w:color w:val="2F5496" w:themeColor="accent1" w:themeShade="BF"/>
      <w:sz w:val="26"/>
      <w:szCs w:val="26"/>
      <w:lang w:val="en-GB"/>
    </w:rPr>
  </w:style>
  <w:style w:type="table" w:styleId="GridTable6Colorful-Accent3">
    <w:name w:val="Grid Table 6 Colorful Accent 3"/>
    <w:basedOn w:val="TableNormal"/>
    <w:uiPriority w:val="51"/>
    <w:rsid w:val="00EA2860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">
    <w:name w:val="List Table 4"/>
    <w:basedOn w:val="TableNormal"/>
    <w:uiPriority w:val="49"/>
    <w:rsid w:val="00EA286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on">
    <w:name w:val="Revision"/>
    <w:hidden/>
    <w:uiPriority w:val="99"/>
    <w:semiHidden/>
    <w:rsid w:val="00DF3E88"/>
    <w:rPr>
      <w:rFonts w:ascii="Times New Roman" w:eastAsia="Times New Roman" w:hAnsi="Times New Roman"/>
      <w:lang w:val="en-GB"/>
    </w:rPr>
  </w:style>
  <w:style w:type="paragraph" w:customStyle="1" w:styleId="NO">
    <w:name w:val="NO"/>
    <w:basedOn w:val="Normal"/>
    <w:rsid w:val="000369C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zh-TW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597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159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TALCar">
    <w:name w:val="TAL Car"/>
    <w:link w:val="TAL"/>
    <w:qFormat/>
    <w:locked/>
    <w:rsid w:val="002F6257"/>
    <w:rPr>
      <w:rFonts w:ascii="Arial" w:eastAsia="Times New Roman" w:hAnsi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2F625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4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0AF53CD484D94BBA0B4FFC49EE7B30" ma:contentTypeVersion="8" ma:contentTypeDescription="Create a new document." ma:contentTypeScope="" ma:versionID="cce852ffee4cc15ba790472bdef89829">
  <xsd:schema xmlns:xsd="http://www.w3.org/2001/XMLSchema" xmlns:xs="http://www.w3.org/2001/XMLSchema" xmlns:p="http://schemas.microsoft.com/office/2006/metadata/properties" xmlns:ns2="b782a749-144d-48ae-8b94-9ef0c78e12ad" targetNamespace="http://schemas.microsoft.com/office/2006/metadata/properties" ma:root="true" ma:fieldsID="4ace60d3c3a6edea1c6220c3442d4911" ns2:_="">
    <xsd:import namespace="b782a749-144d-48ae-8b94-9ef0c78e12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2a749-144d-48ae-8b94-9ef0c78e1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1D6918-1BFF-450A-BF39-D3405B351D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4DF290-99E2-4123-B417-9AFD256CB9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EB294C-A934-4EF8-ADF0-9A26992FC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82a749-144d-48ae-8b94-9ef0c78e1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603B5C-2AF9-422F-9540-79A6E85217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Peter Gaal</cp:lastModifiedBy>
  <cp:revision>191</cp:revision>
  <cp:lastPrinted>2020-02-10T06:14:00Z</cp:lastPrinted>
  <dcterms:created xsi:type="dcterms:W3CDTF">2021-08-06T23:13:00Z</dcterms:created>
  <dcterms:modified xsi:type="dcterms:W3CDTF">2021-11-06T04:10:00Z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0x010100100AF53CD484D94BBA0B4FFC49EE7B30</vt:lpwstr>
  </property>
  <property fmtid="{D5CDD505-2E9C-101B-9397-08002B2CF9AE}" pid="3" name="_dlc_DocIdItemGuid">
    <vt:lpwstr>fb26ee5c-6a6a-440f-b70c-a3a5d11e97b3</vt:lpwstr>
  </property>
</Properties>
</file>